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B2DF8" w14:textId="5C6EAED9" w:rsidR="0006305E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</w:r>
      <w:r w:rsidR="00F03DB3">
        <w:rPr>
          <w:rFonts w:ascii="Arial" w:eastAsia="Arial" w:hAnsi="Arial"/>
        </w:rPr>
        <w:t>HUKUK BÖLÜMÜ</w:t>
      </w:r>
      <w:r>
        <w:rPr>
          <w:rFonts w:ascii="Arial" w:eastAsia="Arial" w:hAnsi="Arial"/>
        </w:rPr>
        <w:t xml:space="preserve"> UYGULAMA</w:t>
      </w:r>
      <w:r w:rsidR="00F03DB3">
        <w:rPr>
          <w:rFonts w:ascii="Arial" w:eastAsia="Arial" w:hAnsi="Arial"/>
        </w:rPr>
        <w:t>LI EĞİTİMLER</w:t>
      </w:r>
      <w:r>
        <w:rPr>
          <w:rFonts w:ascii="Arial" w:eastAsia="Arial" w:hAnsi="Arial"/>
        </w:rPr>
        <w:t xml:space="preserve"> KOMISYONU</w:t>
      </w:r>
      <w:r>
        <w:rPr>
          <w:rFonts w:ascii="Arial" w:eastAsia="Arial" w:hAnsi="Arial"/>
        </w:rPr>
        <w:br/>
        <w:t>ÇALIŞMA USUL VE ESASLARI</w:t>
      </w:r>
    </w:p>
    <w:p w14:paraId="686FA3A6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1 - Amaç</w:t>
      </w:r>
    </w:p>
    <w:p w14:paraId="1DE5F677" w14:textId="07EDFD93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 xml:space="preserve">(1) Bu Usul ve Esasların amacı, Şalpazarı Meslek Yüksekokulu bünyesindeki </w:t>
      </w:r>
      <w:r w:rsidR="00F03DB3" w:rsidRPr="00F03DB3">
        <w:rPr>
          <w:rFonts w:ascii="Times New Roman" w:hAnsi="Times New Roman" w:cs="Times New Roman"/>
          <w:sz w:val="24"/>
          <w:szCs w:val="24"/>
        </w:rPr>
        <w:t xml:space="preserve">Hukuk Bölümü Uygulamalı Eğitimler Komisyonu </w:t>
      </w:r>
      <w:r w:rsidRPr="00F03DB3">
        <w:rPr>
          <w:rFonts w:ascii="Times New Roman" w:hAnsi="Times New Roman" w:cs="Times New Roman"/>
          <w:sz w:val="24"/>
          <w:szCs w:val="24"/>
        </w:rPr>
        <w:t>adlı yapının oluşumunu, görevlerini, çalışma düzenini, kayıt, raporlama ve izleme süreçlerini belirlemektir.</w:t>
      </w:r>
    </w:p>
    <w:p w14:paraId="1A2D00EF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2 - Kapsam</w:t>
      </w:r>
    </w:p>
    <w:p w14:paraId="4B899229" w14:textId="6FCFCA30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 xml:space="preserve">(1) Bu Usul ve Esaslar, </w:t>
      </w:r>
      <w:r w:rsidR="00F03DB3" w:rsidRPr="00F03DB3">
        <w:rPr>
          <w:rFonts w:ascii="Times New Roman" w:hAnsi="Times New Roman" w:cs="Times New Roman"/>
          <w:sz w:val="24"/>
          <w:szCs w:val="24"/>
        </w:rPr>
        <w:t xml:space="preserve">Hukuk Bölümü Uygulamalı Eğitimler Komisyonu </w:t>
      </w:r>
      <w:r w:rsidRPr="00F03DB3">
        <w:rPr>
          <w:rFonts w:ascii="Times New Roman" w:hAnsi="Times New Roman" w:cs="Times New Roman"/>
          <w:sz w:val="24"/>
          <w:szCs w:val="24"/>
        </w:rPr>
        <w:t>adlı yapının başkan, üye, raportör ve çalışmalarını kapsar.</w:t>
      </w:r>
    </w:p>
    <w:p w14:paraId="77B917B7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3 - Dayanak</w:t>
      </w:r>
    </w:p>
    <w:p w14:paraId="12CFCC1B" w14:textId="118C7B11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Bu Usul ve Esaslar; Trabzon Üniversitesi Uygulamalı Eğitimler Yönergesi ile diğer ilgili üst mevzuata dayanılarak hazırlanmıştır.</w:t>
      </w:r>
    </w:p>
    <w:p w14:paraId="48D5EEC4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Üst mevzuatta farklı bir hüküm bulunması hâlinde üst mevzuat hükmü uygulanır.</w:t>
      </w:r>
    </w:p>
    <w:p w14:paraId="5235AF91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4 - Oluşum</w:t>
      </w:r>
    </w:p>
    <w:p w14:paraId="709D29C3" w14:textId="1383480F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 xml:space="preserve">(1) </w:t>
      </w:r>
      <w:r w:rsidR="00F03DB3" w:rsidRPr="00F03DB3">
        <w:rPr>
          <w:rFonts w:ascii="Times New Roman" w:hAnsi="Times New Roman" w:cs="Times New Roman"/>
          <w:sz w:val="24"/>
          <w:szCs w:val="24"/>
        </w:rPr>
        <w:t>Hukuk Bölümü Uygulamalı Eğitimler Komisyonu</w:t>
      </w:r>
      <w:r w:rsidRPr="00F03DB3">
        <w:rPr>
          <w:rFonts w:ascii="Times New Roman" w:hAnsi="Times New Roman" w:cs="Times New Roman"/>
          <w:sz w:val="24"/>
          <w:szCs w:val="24"/>
        </w:rPr>
        <w:t>, üst mevzuatta belirtilen usule göre; hüküm bulunmaması hâlinde Müdürün teklifi ve yetkili kurul kararıyla oluşturulur.</w:t>
      </w:r>
    </w:p>
    <w:p w14:paraId="585800BE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Üye sayısı, görev dağılımı ve görev süresi görevlendirme kararında gösterilir.</w:t>
      </w:r>
    </w:p>
    <w:p w14:paraId="4321703C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5 - Görev süresi ve üyeliğin sona ermesi</w:t>
      </w:r>
    </w:p>
    <w:p w14:paraId="74DB8742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Görev süresi üst mevzuat veya görevlendirme kararında belirtilir. Yeni görevlendirme yapılıncaya kadar mevcut görev, mevzuata aykırı olmamak kaydıyla devam eder.</w:t>
      </w:r>
    </w:p>
    <w:p w14:paraId="24E0EA89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63925179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6 - Çalışma ilkeleri</w:t>
      </w:r>
    </w:p>
    <w:p w14:paraId="7F4C88A3" w14:textId="352618F5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 xml:space="preserve">(1) </w:t>
      </w:r>
      <w:r w:rsidR="00F03DB3" w:rsidRPr="00F03DB3">
        <w:rPr>
          <w:rFonts w:ascii="Times New Roman" w:hAnsi="Times New Roman" w:cs="Times New Roman"/>
          <w:sz w:val="24"/>
          <w:szCs w:val="24"/>
        </w:rPr>
        <w:t>Hukuk Bölümü Uygulamalı Eğitimler Komisyonu</w:t>
      </w:r>
      <w:r w:rsidRPr="00F03DB3">
        <w:rPr>
          <w:rFonts w:ascii="Times New Roman" w:hAnsi="Times New Roman" w:cs="Times New Roman"/>
          <w:sz w:val="24"/>
          <w:szCs w:val="24"/>
        </w:rPr>
        <w:t>; kamu yararı, eşitlik, tarafsızlık, hesap verebilirlik, gizlilik, katılımcılık ve kanıta dayalı karar alma ilkelerine göre çalışır.</w:t>
      </w:r>
    </w:p>
    <w:p w14:paraId="3622D4D2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Çalışmalar görev alanıyla sınırlı yürütülür; başka kurul veya makamların yetkileri kullanılamaz.</w:t>
      </w:r>
    </w:p>
    <w:p w14:paraId="714B3CA6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7 - Görevler</w:t>
      </w:r>
    </w:p>
    <w:p w14:paraId="6E62ADA1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Program öğrencilerini staj süreci, adliye ve büro çalışma düzeni ile gizlilik ilkeleri hakkında bilgilendirmek.</w:t>
      </w:r>
    </w:p>
    <w:p w14:paraId="5AABE71B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Staj başvurularını ve iş yerlerinin program kazanımlarına uygunluğunu değerlendirmek.</w:t>
      </w:r>
    </w:p>
    <w:p w14:paraId="0FCDED20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(3) Staj dosyası, devam durumu ve işveren değerlendirmesini incelemek.</w:t>
      </w:r>
    </w:p>
    <w:p w14:paraId="6A0E90D5" w14:textId="0DD83C6A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 xml:space="preserve">(4) Stajın kabulü, reddi veya düzeltilmesine ilişkin gerekçeli öneriyi </w:t>
      </w:r>
      <w:r w:rsidR="00F03DB3" w:rsidRPr="00F03DB3">
        <w:rPr>
          <w:rFonts w:ascii="Times New Roman" w:hAnsi="Times New Roman" w:cs="Times New Roman"/>
          <w:sz w:val="24"/>
          <w:szCs w:val="24"/>
        </w:rPr>
        <w:t xml:space="preserve">Birim Uygulamalı Eğitimler Komisyonu </w:t>
      </w:r>
      <w:r w:rsidRPr="00F03DB3">
        <w:rPr>
          <w:rFonts w:ascii="Times New Roman" w:hAnsi="Times New Roman" w:cs="Times New Roman"/>
          <w:sz w:val="24"/>
          <w:szCs w:val="24"/>
        </w:rPr>
        <w:t>sunmak.</w:t>
      </w:r>
    </w:p>
    <w:p w14:paraId="4BD71BA9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(5) Müdürlükçe ve ilgili üst birimce görev alanı kapsamında verilen diğer işleri yürütmek.</w:t>
      </w:r>
    </w:p>
    <w:p w14:paraId="164D0BE5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lastRenderedPageBreak/>
        <w:t>MADDE 8 - Başkanın görevleri</w:t>
      </w:r>
    </w:p>
    <w:p w14:paraId="24CE2071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Yıllık çalışma planını ve toplantı gündemini hazırlatmak, toplantıyı yönetmek ve görev dağılımı yapmak.</w:t>
      </w:r>
    </w:p>
    <w:p w14:paraId="12BF5723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Karar ve faaliyetlerin uygulanmasını izlemek, gerekli eşgüdümü sağlamak ve sonuçları Müdürlüğe sunmak.</w:t>
      </w:r>
    </w:p>
    <w:p w14:paraId="517E8326" w14:textId="53BED272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(3) Başkanın bulunmadığı hâllerde başkanın belirlediği üye toplantıya başkanlık eder.</w:t>
      </w:r>
    </w:p>
    <w:p w14:paraId="7D7A33CD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9 - Üyelerin ve raportörün görevleri</w:t>
      </w:r>
    </w:p>
    <w:p w14:paraId="542227FF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Üyeler gündem konularını inceler, toplantılara katılır, verilen görevleri süresinde tamamlar ve kanıtları raportöre iletir.</w:t>
      </w:r>
    </w:p>
    <w:p w14:paraId="3D654A76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Raportör; çağrı, gündem, katılım listesi, tutanak, karar, numaralandırma, imza, dosyalama ve bildirim işlemlerini yürütür. Raportör üye değilse oy kullanamaz.</w:t>
      </w:r>
    </w:p>
    <w:p w14:paraId="71E66F20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10 - Toplantı zamanı ve çağrı</w:t>
      </w:r>
    </w:p>
    <w:p w14:paraId="30420BCC" w14:textId="2EAB9AAC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 xml:space="preserve">(1) </w:t>
      </w:r>
      <w:r w:rsidR="00F03DB3" w:rsidRPr="00F03DB3">
        <w:rPr>
          <w:rFonts w:ascii="Times New Roman" w:hAnsi="Times New Roman" w:cs="Times New Roman"/>
          <w:sz w:val="24"/>
          <w:szCs w:val="24"/>
        </w:rPr>
        <w:t>Hukuk Bölümü Uygulamalı Eğitimler Komisyonu</w:t>
      </w:r>
      <w:r w:rsidRPr="00F03DB3">
        <w:rPr>
          <w:rFonts w:ascii="Times New Roman" w:hAnsi="Times New Roman" w:cs="Times New Roman"/>
          <w:sz w:val="24"/>
          <w:szCs w:val="24"/>
        </w:rPr>
        <w:t>, özel mevzuatta belirtilen sıklıkta; hüküm yoksa görevlerinin gerektirdiği zamanlarda ve yılda en az iki kez toplanır</w:t>
      </w:r>
      <w:r w:rsidR="00F03DB3" w:rsidRPr="00F03DB3">
        <w:rPr>
          <w:rFonts w:ascii="Times New Roman" w:hAnsi="Times New Roman" w:cs="Times New Roman"/>
          <w:sz w:val="24"/>
          <w:szCs w:val="24"/>
        </w:rPr>
        <w:t>.</w:t>
      </w:r>
    </w:p>
    <w:p w14:paraId="70CB5D9C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Toplantı çağrısı, gündem ve belgeler kural olarak en az iki iş günü önce üyelere iletilir. Acil hâllerde bu süre aranmaz ve gerekçesi tutanağa yazılır.</w:t>
      </w:r>
    </w:p>
    <w:p w14:paraId="44D314F8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11 - Toplantı ve karar yeter sayısı</w:t>
      </w:r>
    </w:p>
    <w:p w14:paraId="70D84C20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34ED6641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Çekimser oy kullanılamaz. Karşı oy gerekçesi karar metnine yazılır. Danışma ve acil durum çalışmalarında karar gerektirmeyen görüşmeler tutanakla kaydedilebilir.</w:t>
      </w:r>
    </w:p>
    <w:p w14:paraId="1278A48E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12 - Kararların niteliği</w:t>
      </w:r>
    </w:p>
    <w:p w14:paraId="394DA65D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Kararlar gerekçeli, açık, uygulanabilir ve görev alanıyla sınırlı olur.</w:t>
      </w:r>
    </w:p>
    <w:p w14:paraId="72F42243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Üst mevzuatta açıkça yetki verilmedikçe kararlar öneri niteliğindedir; yetkili makam veya kurulun onayına sunulur.</w:t>
      </w:r>
    </w:p>
    <w:p w14:paraId="1AD3546F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13 - Etik gizlilik ve çıkar çatışması</w:t>
      </w:r>
    </w:p>
    <w:p w14:paraId="385AF5F9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Üyeler görevleri sırasında öğrendikleri kişisel, akademik, mali veya kurumsal bilgilerin gizliliğini korur.</w:t>
      </w:r>
    </w:p>
    <w:p w14:paraId="149B2E85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Kendisini veya doğrudan menfaat ilişkisi bulunan kişiyi ilgilendiren konuda üye görüşme ve oylamaya katılmaz; durum tutanağa yazılır.</w:t>
      </w:r>
    </w:p>
    <w:p w14:paraId="20546EB9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14 - Tutanak ve dosyalama</w:t>
      </w:r>
    </w:p>
    <w:p w14:paraId="622870D8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Toplantılarda tarih, saat, yer, katılanlar, gündem, görüşülen hususlar, kararlar, sorumlular ve süreleri içeren tutanak düzenlenir.</w:t>
      </w:r>
    </w:p>
    <w:p w14:paraId="447DECCE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Tutanak ve kararlar katılanlarca imzalanır, müteselsil numaralandırılır ve ekleriyle resmî dosyalama planına göre saklanır. Kişisel veri içeren belgeler açık erişimde yayımlanmaz.</w:t>
      </w:r>
    </w:p>
    <w:p w14:paraId="2DF2689D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lastRenderedPageBreak/>
        <w:t>MADDE 15 - Yıllık çalışma planı ve raporlama</w:t>
      </w:r>
    </w:p>
    <w:p w14:paraId="47A41757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Sürekli nitelikteki çalışmalarda eğitim-öğretim yılı başında faaliyet, sorumlu, süre, çıktı ve kanıtları gösteren çalışma planı hazırlanır.</w:t>
      </w:r>
    </w:p>
    <w:p w14:paraId="5AA93A55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16 - İzleme ve iyileştirme</w:t>
      </w:r>
    </w:p>
    <w:p w14:paraId="292FB89B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Karar ve faaliyetlerin gerçekleşme durumu başkan tarafından izlenir. Gerçekleşmeyen faaliyetler gerekçelendirilir ve düzeltici veya iyileştirici faaliyet belirlenir.</w:t>
      </w:r>
    </w:p>
    <w:p w14:paraId="26C9D11A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(2) Sonuçlar ilgili kalite, stratejik plan, iç kontrol veya üst koordinasyon yapısıyla paylaşılır.</w:t>
      </w:r>
    </w:p>
    <w:p w14:paraId="27678E2A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17 - Hüküm bulunmayan hâller</w:t>
      </w:r>
    </w:p>
    <w:p w14:paraId="4AC5B22E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Bu Usul ve Esaslarda hüküm bulunmayan hâllerde ilgili üst mevzuat ile Üniversite ve yetkili kurul kararları uygulanır.</w:t>
      </w:r>
    </w:p>
    <w:p w14:paraId="1D516F25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18 - Yürürlük</w:t>
      </w:r>
    </w:p>
    <w:p w14:paraId="5821AF83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Bu Usul ve Esaslar, Şalpazarı Meslek Yüksekokulu Kurulunun .../.../2026 tarihli ve ... sayılı kararıyla kabul edilerek yürürlüğe girer.</w:t>
      </w:r>
    </w:p>
    <w:p w14:paraId="1F5722F6" w14:textId="77777777" w:rsidR="0006305E" w:rsidRPr="00F03DB3" w:rsidRDefault="00000000" w:rsidP="00F03DB3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b/>
          <w:sz w:val="24"/>
          <w:szCs w:val="24"/>
        </w:rPr>
        <w:t>MADDE 19 - Yürütme</w:t>
      </w:r>
    </w:p>
    <w:p w14:paraId="6CE50032" w14:textId="77777777" w:rsidR="0006305E" w:rsidRPr="00F03DB3" w:rsidRDefault="00000000" w:rsidP="00F03DB3">
      <w:pPr>
        <w:jc w:val="both"/>
        <w:rPr>
          <w:rFonts w:ascii="Times New Roman" w:hAnsi="Times New Roman" w:cs="Times New Roman"/>
          <w:sz w:val="24"/>
          <w:szCs w:val="24"/>
        </w:rPr>
      </w:pPr>
      <w:r w:rsidRPr="00F03DB3">
        <w:rPr>
          <w:rFonts w:ascii="Times New Roman" w:hAnsi="Times New Roman" w:cs="Times New Roman"/>
          <w:sz w:val="24"/>
          <w:szCs w:val="24"/>
        </w:rPr>
        <w:t>(1) Bu Usul ve Esasları Şalpazarı Meslek Yüksekokulu Müdürü yürütür.</w:t>
      </w:r>
    </w:p>
    <w:sectPr w:rsidR="0006305E" w:rsidRPr="00F03DB3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3B53D" w14:textId="77777777" w:rsidR="00CC6BCD" w:rsidRDefault="00CC6BCD">
      <w:pPr>
        <w:spacing w:after="0" w:line="240" w:lineRule="auto"/>
      </w:pPr>
      <w:r>
        <w:separator/>
      </w:r>
    </w:p>
  </w:endnote>
  <w:endnote w:type="continuationSeparator" w:id="0">
    <w:p w14:paraId="33EB3BCD" w14:textId="77777777" w:rsidR="00CC6BCD" w:rsidRDefault="00CC6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9A020" w14:textId="77777777" w:rsidR="0006305E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F03DB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96D08" w14:textId="77777777" w:rsidR="00CC6BCD" w:rsidRDefault="00CC6BCD">
      <w:pPr>
        <w:spacing w:after="0" w:line="240" w:lineRule="auto"/>
      </w:pPr>
      <w:r>
        <w:separator/>
      </w:r>
    </w:p>
  </w:footnote>
  <w:footnote w:type="continuationSeparator" w:id="0">
    <w:p w14:paraId="0D268A86" w14:textId="77777777" w:rsidR="00CC6BCD" w:rsidRDefault="00CC6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675E9" w14:textId="339BB2F9" w:rsidR="0006305E" w:rsidRDefault="00F03DB3">
    <w:pPr>
      <w:pStyle w:val="stBilgi"/>
      <w:jc w:val="right"/>
    </w:pPr>
    <w:r>
      <w:rPr>
        <w:color w:val="595959"/>
        <w:sz w:val="16"/>
      </w:rPr>
      <w:t>Hukuk Bölümü Uygulamalı Eğitimler Komisyonu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6666440">
    <w:abstractNumId w:val="8"/>
  </w:num>
  <w:num w:numId="2" w16cid:durableId="863322837">
    <w:abstractNumId w:val="6"/>
  </w:num>
  <w:num w:numId="3" w16cid:durableId="1419987436">
    <w:abstractNumId w:val="5"/>
  </w:num>
  <w:num w:numId="4" w16cid:durableId="394933132">
    <w:abstractNumId w:val="4"/>
  </w:num>
  <w:num w:numId="5" w16cid:durableId="323625984">
    <w:abstractNumId w:val="7"/>
  </w:num>
  <w:num w:numId="6" w16cid:durableId="720519367">
    <w:abstractNumId w:val="3"/>
  </w:num>
  <w:num w:numId="7" w16cid:durableId="1057703695">
    <w:abstractNumId w:val="2"/>
  </w:num>
  <w:num w:numId="8" w16cid:durableId="1584335538">
    <w:abstractNumId w:val="1"/>
  </w:num>
  <w:num w:numId="9" w16cid:durableId="14786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05E"/>
    <w:rsid w:val="0015074B"/>
    <w:rsid w:val="0029639D"/>
    <w:rsid w:val="00326F90"/>
    <w:rsid w:val="008E566A"/>
    <w:rsid w:val="00AA1D8D"/>
    <w:rsid w:val="00B47730"/>
    <w:rsid w:val="00CB0664"/>
    <w:rsid w:val="00CC6BCD"/>
    <w:rsid w:val="00DA45F7"/>
    <w:rsid w:val="00F03DB3"/>
    <w:rsid w:val="00FC693F"/>
    <w:rsid w:val="00FF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25BE2"/>
  <w14:defaultImageDpi w14:val="300"/>
  <w15:docId w15:val="{7603A015-606D-42D9-807A-E9EC3B4C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2026-09-11T22:52:00Z</dcterms:created>
  <dcterms:modified xsi:type="dcterms:W3CDTF">2026-09-11T22:55:00Z</dcterms:modified>
  <cp:category/>
</cp:coreProperties>
</file>