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97A48" w14:textId="77777777" w:rsidR="00AE7EF1" w:rsidRPr="005E7BFC" w:rsidRDefault="00000000">
      <w:pPr>
        <w:jc w:val="center"/>
        <w:rPr>
          <w:rFonts w:asciiTheme="majorBidi" w:hAnsiTheme="majorBidi" w:cstheme="majorBidi"/>
          <w:sz w:val="52"/>
          <w:szCs w:val="52"/>
        </w:rPr>
      </w:pPr>
      <w:r w:rsidRPr="005E7BFC">
        <w:rPr>
          <w:rFonts w:asciiTheme="majorBidi" w:hAnsiTheme="majorBidi" w:cstheme="majorBidi"/>
          <w:b/>
          <w:sz w:val="52"/>
          <w:szCs w:val="52"/>
        </w:rPr>
        <w:t>T.C.</w:t>
      </w:r>
      <w:r w:rsidRPr="005E7BFC">
        <w:rPr>
          <w:rFonts w:asciiTheme="majorBidi" w:hAnsiTheme="majorBidi" w:cstheme="majorBidi"/>
          <w:b/>
          <w:sz w:val="52"/>
          <w:szCs w:val="52"/>
        </w:rPr>
        <w:br/>
        <w:t>TRABZON ÜNİVERSİTESİ</w:t>
      </w:r>
      <w:r w:rsidRPr="005E7BFC">
        <w:rPr>
          <w:rFonts w:asciiTheme="majorBidi" w:hAnsiTheme="majorBidi" w:cstheme="majorBidi"/>
          <w:b/>
          <w:sz w:val="52"/>
          <w:szCs w:val="52"/>
        </w:rPr>
        <w:br/>
        <w:t>ŞALPAZARI MESLEK YÜKSEKOKULU</w:t>
      </w:r>
    </w:p>
    <w:p w14:paraId="5E24EECD" w14:textId="77777777" w:rsidR="00AE7EF1" w:rsidRPr="005E7BFC" w:rsidRDefault="00AE7EF1">
      <w:pPr>
        <w:rPr>
          <w:rFonts w:asciiTheme="majorBidi" w:hAnsiTheme="majorBidi" w:cstheme="majorBidi"/>
          <w:sz w:val="52"/>
          <w:szCs w:val="52"/>
        </w:rPr>
      </w:pPr>
    </w:p>
    <w:p w14:paraId="49EA15B9" w14:textId="77777777" w:rsidR="00AE7EF1" w:rsidRPr="005E7BFC" w:rsidRDefault="00000000">
      <w:pPr>
        <w:jc w:val="center"/>
        <w:rPr>
          <w:rFonts w:asciiTheme="majorBidi" w:hAnsiTheme="majorBidi" w:cstheme="majorBidi"/>
          <w:sz w:val="52"/>
          <w:szCs w:val="52"/>
        </w:rPr>
      </w:pPr>
      <w:r w:rsidRPr="005E7BFC">
        <w:rPr>
          <w:rFonts w:asciiTheme="majorBidi" w:hAnsiTheme="majorBidi" w:cstheme="majorBidi"/>
          <w:b/>
          <w:sz w:val="52"/>
          <w:szCs w:val="52"/>
        </w:rPr>
      </w:r>
      <w:r w:rsidRPr="005E7BFC">
        <w:rPr>
          <w:rFonts w:asciiTheme="majorBidi" w:hAnsiTheme="majorBidi" w:cstheme="majorBidi"/>
          <w:b/>
          <w:sz w:val="52"/>
          <w:szCs w:val="52"/>
        </w:rPr>
      </w:r>
      <w:r>
        <w:rPr>
          <w:b/>
          <w:sz w:val="52"/>
        </w:rPr>
        <w:t>MÜDÜR ÖĞRENCİ BULUŞMASI</w:t>
        <w:br/>
        <w:t>ANKET SONUÇ RAPORU</w:t>
      </w:r>
    </w:p>
    <w:p w14:paraId="34503F96" w14:textId="77777777" w:rsidR="00AE7EF1" w:rsidRDefault="00AE7EF1">
      <w:pPr>
        <w:rPr>
          <w:rFonts w:asciiTheme="majorBidi" w:hAnsiTheme="majorBidi" w:cstheme="majorBidi"/>
          <w:sz w:val="24"/>
          <w:szCs w:val="24"/>
        </w:rPr>
      </w:pPr>
    </w:p>
    <w:p w14:paraId="00E5C854" w14:textId="77777777" w:rsidR="005E7BFC" w:rsidRDefault="005E7BFC">
      <w:pPr>
        <w:rPr>
          <w:rFonts w:asciiTheme="majorBidi" w:hAnsiTheme="majorBidi" w:cstheme="majorBidi"/>
          <w:sz w:val="24"/>
          <w:szCs w:val="24"/>
        </w:rPr>
      </w:pPr>
    </w:p>
    <w:p w14:paraId="43CC2026" w14:textId="77777777" w:rsidR="005E7BFC" w:rsidRDefault="005E7BFC">
      <w:pPr>
        <w:rPr>
          <w:rFonts w:asciiTheme="majorBidi" w:hAnsiTheme="majorBidi" w:cstheme="majorBidi"/>
          <w:sz w:val="24"/>
          <w:szCs w:val="24"/>
        </w:rPr>
      </w:pPr>
    </w:p>
    <w:p w14:paraId="7DF7F6B3" w14:textId="77777777" w:rsidR="005E7BFC" w:rsidRPr="005E7BFC" w:rsidRDefault="005E7BFC">
      <w:pPr>
        <w:rPr>
          <w:rFonts w:asciiTheme="majorBidi" w:hAnsiTheme="majorBidi" w:cstheme="majorBidi"/>
          <w:sz w:val="24"/>
          <w:szCs w:val="24"/>
        </w:rPr>
      </w:pPr>
    </w:p>
    <w:p w14:paraId="05A42E1E" w14:textId="77777777" w:rsidR="00AE7EF1" w:rsidRPr="005E7BFC" w:rsidRDefault="00000000">
      <w:pPr>
        <w:jc w:val="center"/>
        <w:rPr>
          <w:rFonts w:asciiTheme="majorBidi" w:hAnsiTheme="majorBidi" w:cstheme="majorBidi"/>
          <w:sz w:val="24"/>
          <w:szCs w:val="24"/>
        </w:rPr>
      </w:pPr>
      <w:r w:rsidRPr="005E7BFC">
        <w:rPr>
          <w:rFonts w:asciiTheme="majorBidi" w:hAnsiTheme="majorBidi" w:cstheme="majorBidi"/>
          <w:sz w:val="24"/>
          <w:szCs w:val="24"/>
        </w:rPr>
        <w:t>Katılımcı Görüşleri, Memnuniyet Düzeyi ve Değerlendirme</w:t>
      </w:r>
    </w:p>
    <w:p w14:paraId="0689F976" w14:textId="77777777" w:rsidR="00AE7EF1" w:rsidRDefault="00AE7EF1">
      <w:pPr>
        <w:rPr>
          <w:rFonts w:asciiTheme="majorBidi" w:hAnsiTheme="majorBidi" w:cstheme="majorBidi"/>
          <w:sz w:val="24"/>
          <w:szCs w:val="24"/>
        </w:rPr>
      </w:pPr>
    </w:p>
    <w:p w14:paraId="65AEA4D9" w14:textId="77777777" w:rsidR="005E7BFC" w:rsidRDefault="005E7BFC">
      <w:pPr>
        <w:rPr>
          <w:rFonts w:asciiTheme="majorBidi" w:hAnsiTheme="majorBidi" w:cstheme="majorBidi"/>
          <w:sz w:val="24"/>
          <w:szCs w:val="24"/>
        </w:rPr>
      </w:pPr>
    </w:p>
    <w:p w14:paraId="5C3DAED0" w14:textId="77777777" w:rsidR="005E7BFC" w:rsidRDefault="005E7BFC">
      <w:pPr>
        <w:rPr>
          <w:rFonts w:asciiTheme="majorBidi" w:hAnsiTheme="majorBidi" w:cstheme="majorBidi"/>
          <w:sz w:val="24"/>
          <w:szCs w:val="24"/>
        </w:rPr>
      </w:pPr>
    </w:p>
    <w:p w14:paraId="4CB59954" w14:textId="77777777" w:rsidR="005E7BFC" w:rsidRDefault="005E7BFC">
      <w:pPr>
        <w:rPr>
          <w:rFonts w:asciiTheme="majorBidi" w:hAnsiTheme="majorBidi" w:cstheme="majorBidi"/>
          <w:sz w:val="24"/>
          <w:szCs w:val="24"/>
        </w:rPr>
      </w:pPr>
    </w:p>
    <w:p w14:paraId="2DFB004D" w14:textId="77777777" w:rsidR="005E7BFC" w:rsidRDefault="005E7BFC">
      <w:pPr>
        <w:rPr>
          <w:rFonts w:asciiTheme="majorBidi" w:hAnsiTheme="majorBidi" w:cstheme="majorBidi"/>
          <w:sz w:val="24"/>
          <w:szCs w:val="24"/>
        </w:rPr>
      </w:pPr>
    </w:p>
    <w:p w14:paraId="77CA96E4" w14:textId="77777777" w:rsidR="005E7BFC" w:rsidRDefault="005E7BFC">
      <w:pPr>
        <w:rPr>
          <w:rFonts w:asciiTheme="majorBidi" w:hAnsiTheme="majorBidi" w:cstheme="majorBidi"/>
          <w:sz w:val="24"/>
          <w:szCs w:val="24"/>
        </w:rPr>
      </w:pPr>
    </w:p>
    <w:p w14:paraId="0318B866" w14:textId="77777777" w:rsidR="005E7BFC" w:rsidRDefault="005E7BFC">
      <w:pPr>
        <w:rPr>
          <w:rFonts w:asciiTheme="majorBidi" w:hAnsiTheme="majorBidi" w:cstheme="majorBidi"/>
          <w:sz w:val="24"/>
          <w:szCs w:val="24"/>
        </w:rPr>
      </w:pPr>
    </w:p>
    <w:p w14:paraId="14587B89" w14:textId="77777777" w:rsidR="005E7BFC" w:rsidRPr="005E7BFC" w:rsidRDefault="005E7BFC">
      <w:pPr>
        <w:rPr>
          <w:rFonts w:asciiTheme="majorBidi" w:hAnsiTheme="majorBidi" w:cstheme="majorBidi"/>
          <w:sz w:val="24"/>
          <w:szCs w:val="24"/>
        </w:rPr>
      </w:pPr>
    </w:p>
    <w:p w14:paraId="7633DF0F" w14:textId="77777777" w:rsidR="00AE7EF1" w:rsidRPr="005E7BFC" w:rsidRDefault="00000000">
      <w:pPr>
        <w:jc w:val="center"/>
        <w:rPr>
          <w:rFonts w:asciiTheme="majorBidi" w:hAnsiTheme="majorBidi" w:cstheme="majorBidi"/>
          <w:sz w:val="24"/>
          <w:szCs w:val="24"/>
        </w:rPr>
      </w:pPr>
      <w:r w:rsidRPr="005E7BFC">
        <w:rPr>
          <w:rFonts w:asciiTheme="majorBidi" w:hAnsiTheme="majorBidi" w:cstheme="majorBidi"/>
          <w:b/>
          <w:sz w:val="24"/>
          <w:szCs w:val="24"/>
        </w:rPr>
        <w:t>2026</w:t>
      </w:r>
    </w:p>
    <w:p w14:paraId="3F012F52" w14:textId="77777777" w:rsidR="00AE7EF1" w:rsidRPr="005E7BFC" w:rsidRDefault="00000000">
      <w:pPr>
        <w:rPr>
          <w:rFonts w:asciiTheme="majorBidi" w:hAnsiTheme="majorBidi" w:cstheme="majorBidi"/>
          <w:sz w:val="24"/>
          <w:szCs w:val="24"/>
        </w:rPr>
      </w:pPr>
      <w:r w:rsidRPr="005E7BFC">
        <w:rPr>
          <w:rFonts w:asciiTheme="majorBidi" w:hAnsiTheme="majorBidi" w:cstheme="majorBidi"/>
          <w:sz w:val="24"/>
          <w:szCs w:val="24"/>
        </w:rPr>
        <w:br w:type="page"/>
      </w:r>
    </w:p>
    <w:p>
      <w:pPr>
        <w:pStyle w:val="Balk1"/>
        <w:spacing w:after="120"/>
      </w:pPr>
      <w:r>
        <w:t>YÖNETİCİ ÖZETİ</w:t>
      </w:r>
    </w:p>
    <w:p>
      <w:pPr>
        <w:spacing w:after="120"/>
        <w:jc w:val="both"/>
      </w:pPr>
      <w:r>
        <w:t>Ankete toplam 30 kişi yanıt vermiştir. On bir değerlendirme maddesinin genel ortalaması 4,41/5, olumlu (4–5) yanıtların ortalaması %85,8 olarak hesaplanmıştır. Samimi ve etkili iletişim kurulmasına ilişkin madde 4,63/5 ile en yüksek ortalamaya sahiptir. Görüş ve önerilerin rahatlıkla ifade edilmesi maddesi 4,20/5 ile görece geliştirmeye açık alandır. Gelecek dönem faaliyetlerinde sosyal ve kültürel geziler 16 kişinin (%53,3) tercihiyle ilk sırada yer almıştır.</w:t>
      </w:r>
    </w:p>
    <w:tbl>
      <w:tblPr>
        <w:tblW w:type="auto" w:w="0"/>
        <w:tblLayout w:type="fixed"/>
        <w:tblLook w:firstColumn="1" w:firstRow="1" w:lastColumn="0" w:lastRow="0" w:noHBand="0" w:noVBand="1" w:val="04A0"/>
      </w:tblPr>
      <w:tblGrid>
        <w:gridCol w:w="4032"/>
        <w:gridCol w:w="5616"/>
      </w:tblGrid>
      <w:tr>
        <w:trPr>
          <w:cantSplit/>
          <w:tblHeader/>
        </w:trPr>
        <w:tc>
          <w:tcPr>
            <w:tcW w:type="dxa" w:w="4032"/>
            <w:tcBorders>
              <w:top w:val="single" w:sz="4" w:color="D9D9D9"/>
              <w:left w:val="single" w:sz="4" w:color="D9D9D9"/>
              <w:bottom w:val="single" w:sz="4" w:color="D9D9D9"/>
              <w:right w:val="single" w:sz="4" w:color="D9D9D9"/>
            </w:tcBorders>
            <w:shd w:fill="E7E6E6"/>
          </w:tcPr>
          <w:p>
            <w:pPr>
              <w:spacing w:after="80" w:before="80"/>
            </w:pPr>
            <w:r>
              <w:rPr>
                <w:b/>
                <w:sz w:val="22"/>
              </w:rPr>
              <w:t>Temel gösterge</w:t>
            </w:r>
          </w:p>
        </w:tc>
        <w:tc>
          <w:tcPr>
            <w:tcW w:type="dxa" w:w="5616"/>
            <w:tcBorders>
              <w:top w:val="single" w:sz="4" w:color="D9D9D9"/>
              <w:left w:val="single" w:sz="4" w:color="D9D9D9"/>
              <w:bottom w:val="single" w:sz="4" w:color="D9D9D9"/>
              <w:right w:val="single" w:sz="4" w:color="D9D9D9"/>
            </w:tcBorders>
            <w:shd w:fill="E7E6E6"/>
          </w:tcPr>
          <w:p>
            <w:pPr>
              <w:spacing w:after="80" w:before="80"/>
            </w:pPr>
            <w:r>
              <w:rPr>
                <w:b/>
                <w:sz w:val="22"/>
              </w:rPr>
              <w:t>Sonuç</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Toplam anket yanıtı</w:t>
            </w:r>
          </w:p>
        </w:tc>
        <w:tc>
          <w:tcPr>
            <w:tcW w:type="dxa" w:w="5616"/>
            <w:tcBorders>
              <w:top w:val="single" w:sz="4" w:color="D9D9D9"/>
              <w:left w:val="single" w:sz="4" w:color="D9D9D9"/>
              <w:bottom w:val="single" w:sz="4" w:color="D9D9D9"/>
              <w:right w:val="single" w:sz="4" w:color="D9D9D9"/>
            </w:tcBorders>
          </w:tcPr>
          <w:p>
            <w:pPr>
              <w:spacing w:after="80" w:before="80"/>
            </w:pPr>
            <w:r>
              <w:rPr>
                <w:b w:val="0"/>
                <w:sz w:val="22"/>
              </w:rPr>
              <w:t>30</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Değerlendirme madde sayısı</w:t>
            </w:r>
          </w:p>
        </w:tc>
        <w:tc>
          <w:tcPr>
            <w:tcW w:type="dxa" w:w="5616"/>
            <w:tcBorders>
              <w:top w:val="single" w:sz="4" w:color="D9D9D9"/>
              <w:left w:val="single" w:sz="4" w:color="D9D9D9"/>
              <w:bottom w:val="single" w:sz="4" w:color="D9D9D9"/>
              <w:right w:val="single" w:sz="4" w:color="D9D9D9"/>
            </w:tcBorders>
          </w:tcPr>
          <w:p>
            <w:pPr>
              <w:spacing w:after="80" w:before="80"/>
            </w:pPr>
            <w:r>
              <w:rPr>
                <w:b w:val="0"/>
                <w:sz w:val="22"/>
              </w:rPr>
              <w:t>11</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Genel ortalama</w:t>
            </w:r>
          </w:p>
        </w:tc>
        <w:tc>
          <w:tcPr>
            <w:tcW w:type="dxa" w:w="5616"/>
            <w:tcBorders>
              <w:top w:val="single" w:sz="4" w:color="D9D9D9"/>
              <w:left w:val="single" w:sz="4" w:color="D9D9D9"/>
              <w:bottom w:val="single" w:sz="4" w:color="D9D9D9"/>
              <w:right w:val="single" w:sz="4" w:color="D9D9D9"/>
            </w:tcBorders>
          </w:tcPr>
          <w:p>
            <w:pPr>
              <w:spacing w:after="80" w:before="80"/>
            </w:pPr>
            <w:r>
              <w:rPr>
                <w:b w:val="0"/>
                <w:sz w:val="22"/>
              </w:rPr>
              <w:t>4,41 / 5</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Olumlu yanıt ortalaması</w:t>
            </w:r>
          </w:p>
        </w:tc>
        <w:tc>
          <w:tcPr>
            <w:tcW w:type="dxa" w:w="5616"/>
            <w:tcBorders>
              <w:top w:val="single" w:sz="4" w:color="D9D9D9"/>
              <w:left w:val="single" w:sz="4" w:color="D9D9D9"/>
              <w:bottom w:val="single" w:sz="4" w:color="D9D9D9"/>
              <w:right w:val="single" w:sz="4" w:color="D9D9D9"/>
            </w:tcBorders>
          </w:tcPr>
          <w:p>
            <w:pPr>
              <w:spacing w:after="80" w:before="80"/>
            </w:pPr>
            <w:r>
              <w:rPr>
                <w:b w:val="0"/>
                <w:sz w:val="22"/>
              </w:rPr>
              <w:t>%85,8</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Genel organizasyon memnuniyeti 4–5 puan oranı</w:t>
            </w:r>
          </w:p>
        </w:tc>
        <w:tc>
          <w:tcPr>
            <w:tcW w:type="dxa" w:w="5616"/>
            <w:tcBorders>
              <w:top w:val="single" w:sz="4" w:color="D9D9D9"/>
              <w:left w:val="single" w:sz="4" w:color="D9D9D9"/>
              <w:bottom w:val="single" w:sz="4" w:color="D9D9D9"/>
              <w:right w:val="single" w:sz="4" w:color="D9D9D9"/>
            </w:tcBorders>
          </w:tcPr>
          <w:p>
            <w:pPr>
              <w:spacing w:after="80" w:before="80"/>
            </w:pPr>
            <w:r>
              <w:rPr>
                <w:b w:val="0"/>
                <w:sz w:val="22"/>
              </w:rPr>
              <w:t>%90,0</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En yüksek puanlı madde</w:t>
            </w:r>
          </w:p>
        </w:tc>
        <w:tc>
          <w:tcPr>
            <w:tcW w:type="dxa" w:w="5616"/>
            <w:tcBorders>
              <w:top w:val="single" w:sz="4" w:color="D9D9D9"/>
              <w:left w:val="single" w:sz="4" w:color="D9D9D9"/>
              <w:bottom w:val="single" w:sz="4" w:color="D9D9D9"/>
              <w:right w:val="single" w:sz="4" w:color="D9D9D9"/>
            </w:tcBorders>
          </w:tcPr>
          <w:p>
            <w:pPr>
              <w:spacing w:after="80" w:before="80"/>
            </w:pPr>
            <w:r>
              <w:rPr>
                <w:b w:val="0"/>
                <w:sz w:val="22"/>
              </w:rPr>
              <w:t>Samimi ve etkili iletişim – 4,63/5</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En düşük puanlı madde</w:t>
            </w:r>
          </w:p>
        </w:tc>
        <w:tc>
          <w:tcPr>
            <w:tcW w:type="dxa" w:w="5616"/>
            <w:tcBorders>
              <w:top w:val="single" w:sz="4" w:color="D9D9D9"/>
              <w:left w:val="single" w:sz="4" w:color="D9D9D9"/>
              <w:bottom w:val="single" w:sz="4" w:color="D9D9D9"/>
              <w:right w:val="single" w:sz="4" w:color="D9D9D9"/>
            </w:tcBorders>
          </w:tcPr>
          <w:p>
            <w:pPr>
              <w:spacing w:after="80" w:before="80"/>
            </w:pPr>
            <w:r>
              <w:rPr>
                <w:b w:val="0"/>
                <w:sz w:val="22"/>
              </w:rPr>
              <w:t>Görüş ve önerileri rahatlıkla ifade etme – 4,20/5</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En çok tercih edilen faaliyet</w:t>
            </w:r>
          </w:p>
        </w:tc>
        <w:tc>
          <w:tcPr>
            <w:tcW w:type="dxa" w:w="5616"/>
            <w:tcBorders>
              <w:top w:val="single" w:sz="4" w:color="D9D9D9"/>
              <w:left w:val="single" w:sz="4" w:color="D9D9D9"/>
              <w:bottom w:val="single" w:sz="4" w:color="D9D9D9"/>
              <w:right w:val="single" w:sz="4" w:color="D9D9D9"/>
            </w:tcBorders>
          </w:tcPr>
          <w:p>
            <w:pPr>
              <w:spacing w:after="80" w:before="80"/>
            </w:pPr>
            <w:r>
              <w:rPr>
                <w:b w:val="0"/>
                <w:sz w:val="22"/>
              </w:rPr>
              <w:t>Sosyal ve kültürel geziler – 16 kişi (%53,3)</w:t>
            </w:r>
          </w:p>
        </w:tc>
      </w:tr>
    </w:tbl>
    <w:p>
      <w:pPr>
        <w:spacing w:after="120"/>
        <w:jc w:val="both"/>
      </w:pPr>
    </w:p>
    <w:p>
      <w:pPr>
        <w:pStyle w:val="Balk1"/>
        <w:spacing w:after="120"/>
      </w:pPr>
      <w:r>
        <w:t>1. AMAÇ VE YÖNTEM</w:t>
      </w:r>
    </w:p>
    <w:p>
      <w:pPr>
        <w:spacing w:after="120"/>
        <w:jc w:val="both"/>
      </w:pPr>
      <w:r>
        <w:t>Bu rapor, Şalpazarı Meslek Yüksekokulunda gerçekleştirilen Müdür–Öğrenci Buluşmasına ilişkin katılımcı görüşlerini değerlendirmek ve gelecek dönem faaliyetlerinin planlanmasına veri sağlamak amacıyla hazırlanmıştır. Analiz, sunulan Excel dosyasındaki 30 anket yanıtına dayanmaktadır.</w:t>
      </w:r>
    </w:p>
    <w:p>
      <w:pPr>
        <w:spacing w:after="120"/>
        <w:jc w:val="both"/>
      </w:pPr>
      <w:r>
        <w:t>Anket; 1–5 ölçeğinde 11 değerlendirme maddesi, gelecek dönem faaliyetlerine ilişkin yedi Evet/Hayır seçeneği ve açık uçlu sorulardan oluşmaktadır. Ölçek puanları 1 en düşük, 5 en yüksek değerlendirme kabul edilerek analiz edilmiştir. Her değerlendirme maddesinde 30 geçerli yanıt bulunmaktadır. 4–5 puan olumlu, 3 puan nötr, 1–2 puan olumsuz olarak gruplandırılmıştır. Genel ortalama 330 madde yanıtı üzerinden hesaplanmıştır.</w:t>
      </w:r>
    </w:p>
    <w:p>
      <w:pPr>
        <w:spacing w:after="120"/>
        <w:jc w:val="both"/>
      </w:pPr>
      <w:r>
        <w:t>Faaliyet seçenekleri birden fazla tercih yapılmasına izin verdiğinden oranların toplamı %100 olmak zorunda değildir. Açık uçlu yanıtlar soru bazında tematik olarak incelenmiş; aynı yanıtın birden fazla temaya girmesine izin verilmiştir. Boş hücreler ve yalnızca nokta içeren yanıtlar tematik değerlendirmeye alınmamıştır. Soru zamanı sütunları içerik analizine dahil edilmemiştir.</w:t>
      </w:r>
    </w:p>
    <w:p>
      <w:pPr>
        <w:pStyle w:val="Balk1"/>
        <w:spacing w:after="120"/>
      </w:pPr>
      <w:r>
        <w:t>2. KATILIMCI PROFİLİ</w:t>
      </w:r>
    </w:p>
    <w:p>
      <w:pPr>
        <w:spacing w:after="120"/>
        <w:jc w:val="both"/>
      </w:pPr>
      <w:r>
        <w:t>Anket, öğrenci görüşlerini değerlendirmeye yönelik olarak düzenlenmiştir. Dosyada program, sınıf, cinsiyet veya katılımcı türüne ilişkin demografik alan bulunmadığından bu değişkenler bakımından dağılım hesaplanamamıştır. Etkinliğe katılan toplam öğrenci sayısı verilmediği için anket katılım oranı belirlenememiştir. Bulgular ankete yanıt veren 30 kişinin görüşlerini yansıtmaktadır.</w:t>
      </w:r>
    </w:p>
    <w:p>
      <w:pPr>
        <w:pStyle w:val="Balk1"/>
        <w:spacing w:after="120"/>
      </w:pPr>
      <w:r>
        <w:t>3. SORU BAZINDA MEMNUNİYET ANALİZİ</w:t>
      </w:r>
    </w:p>
    <w:tbl>
      <w:tblPr>
        <w:tblW w:type="auto" w:w="0"/>
        <w:tblLayout w:type="fixed"/>
        <w:tblLook w:firstColumn="1" w:firstRow="1" w:lastColumn="0" w:lastRow="0" w:noHBand="0" w:noVBand="1" w:val="04A0"/>
      </w:tblPr>
      <w:tblGrid>
        <w:gridCol w:w="5472"/>
        <w:gridCol w:w="720"/>
        <w:gridCol w:w="1152"/>
        <w:gridCol w:w="1008"/>
        <w:gridCol w:w="1152"/>
      </w:tblGrid>
      <w:tr>
        <w:trPr>
          <w:cantSplit/>
          <w:tblHeader/>
        </w:trPr>
        <w:tc>
          <w:tcPr>
            <w:tcW w:type="dxa" w:w="5472"/>
            <w:tcBorders>
              <w:top w:val="single" w:sz="4" w:color="D9D9D9"/>
              <w:left w:val="single" w:sz="4" w:color="D9D9D9"/>
              <w:bottom w:val="single" w:sz="4" w:color="D9D9D9"/>
              <w:right w:val="single" w:sz="4" w:color="D9D9D9"/>
            </w:tcBorders>
            <w:shd w:fill="E7E6E6"/>
          </w:tcPr>
          <w:p>
            <w:pPr>
              <w:spacing w:after="80" w:before="80"/>
            </w:pPr>
            <w:r>
              <w:rPr>
                <w:b/>
                <w:sz w:val="20"/>
              </w:rPr>
              <w:t>Değerlendirme maddesi</w:t>
            </w:r>
          </w:p>
        </w:tc>
        <w:tc>
          <w:tcPr>
            <w:tcW w:type="dxa" w:w="720"/>
            <w:tcBorders>
              <w:top w:val="single" w:sz="4" w:color="D9D9D9"/>
              <w:left w:val="single" w:sz="4" w:color="D9D9D9"/>
              <w:bottom w:val="single" w:sz="4" w:color="D9D9D9"/>
              <w:right w:val="single" w:sz="4" w:color="D9D9D9"/>
            </w:tcBorders>
            <w:shd w:fill="E7E6E6"/>
          </w:tcPr>
          <w:p>
            <w:pPr>
              <w:spacing w:after="80" w:before="80"/>
            </w:pPr>
            <w:r>
              <w:rPr>
                <w:b/>
                <w:sz w:val="20"/>
              </w:rPr>
              <w:t>Ort.</w:t>
            </w:r>
          </w:p>
        </w:tc>
        <w:tc>
          <w:tcPr>
            <w:tcW w:type="dxa" w:w="1152"/>
            <w:tcBorders>
              <w:top w:val="single" w:sz="4" w:color="D9D9D9"/>
              <w:left w:val="single" w:sz="4" w:color="D9D9D9"/>
              <w:bottom w:val="single" w:sz="4" w:color="D9D9D9"/>
              <w:right w:val="single" w:sz="4" w:color="D9D9D9"/>
            </w:tcBorders>
            <w:shd w:fill="E7E6E6"/>
          </w:tcPr>
          <w:p>
            <w:pPr>
              <w:spacing w:after="80" w:before="80"/>
            </w:pPr>
            <w:r>
              <w:rPr>
                <w:b/>
                <w:sz w:val="20"/>
              </w:rPr>
              <w:t>Olumlu (4–5)</w:t>
            </w:r>
          </w:p>
        </w:tc>
        <w:tc>
          <w:tcPr>
            <w:tcW w:type="dxa" w:w="1008"/>
            <w:tcBorders>
              <w:top w:val="single" w:sz="4" w:color="D9D9D9"/>
              <w:left w:val="single" w:sz="4" w:color="D9D9D9"/>
              <w:bottom w:val="single" w:sz="4" w:color="D9D9D9"/>
              <w:right w:val="single" w:sz="4" w:color="D9D9D9"/>
            </w:tcBorders>
            <w:shd w:fill="E7E6E6"/>
          </w:tcPr>
          <w:p>
            <w:pPr>
              <w:spacing w:after="80" w:before="80"/>
            </w:pPr>
            <w:r>
              <w:rPr>
                <w:b/>
                <w:sz w:val="20"/>
              </w:rPr>
              <w:t>Nötr (3)</w:t>
            </w:r>
          </w:p>
        </w:tc>
        <w:tc>
          <w:tcPr>
            <w:tcW w:type="dxa" w:w="1152"/>
            <w:tcBorders>
              <w:top w:val="single" w:sz="4" w:color="D9D9D9"/>
              <w:left w:val="single" w:sz="4" w:color="D9D9D9"/>
              <w:bottom w:val="single" w:sz="4" w:color="D9D9D9"/>
              <w:right w:val="single" w:sz="4" w:color="D9D9D9"/>
            </w:tcBorders>
            <w:shd w:fill="E7E6E6"/>
          </w:tcPr>
          <w:p>
            <w:pPr>
              <w:spacing w:after="80" w:before="80"/>
            </w:pPr>
            <w:r>
              <w:rPr>
                <w:b/>
                <w:sz w:val="20"/>
              </w:rPr>
              <w:t>Olumsuz (1–2)</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Etkinliğin süresini yeterli buluyor musunuz?</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4,23</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%80,0</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%13,3</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%6,7</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Müdür-Öğrenci Buluşması etkinliğinin genel olarak faydalı olduğunu düşünüyorum.</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4,40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%86,7</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%10,0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%3,3</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Etkinlik sırasında görüş ve önerilerimizi rahatlıkla ifade edebildik.</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4,20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%76,7</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%16,7</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%6,7</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Meslek Yüksekokulu yönetiminin öğrencilerin görüşlerini dinlemeye önem verdiğini düşünüyorum.</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4,50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%86,7</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%10,0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%3,3</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Etkinlik sırasında öğrenciler ile Meslek Yüksekokulu yönetimi arasında samimi ve etkili bir iletişim kurulmuştur.</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4,63</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%93,3</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%3,3</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%3,3</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Etkinlikte öğrencilerin eğitim-öğretim süreçlerine ilişkin görüşlerinin yeterince ele alındığını düşünüyorum.</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4,40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%86,7</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%6,7</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%6,7</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Etkinlikte sosyal, kültürel ve sportif faaliyetlere ilişkin beklentilerimizin yeterince ele alındığını düşünüyorum.</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4,37</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%86,7</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%10,0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%3,3</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Bu tür öğrenci-yönetim buluşmalarının düzenli olarak gerçekleştirilmesini isterim.</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4,30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%80,0</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%16,7</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%3,3</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Etkinliğin, öğrencilerin Meslek Yüksekokuluna aidiyet duygusuna olumlu katkı sağladığını düşünüyorum.</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4,47</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%90,0</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%6,7</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%3,3</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Öğrenciler tarafından dile getirilen talep ve önerilerin değerlendirmeye alınacağına inanıyorum.</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4,47</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%86,7</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%10,0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%3,3</w:t>
            </w:r>
          </w:p>
        </w:tc>
      </w:tr>
      <w:tr>
        <w:trPr>
          <w:cantSplit/>
        </w:trPr>
        <w:tc>
          <w:tcPr>
            <w:tcW w:type="dxa" w:w="5472"/>
            <w:tcBorders>
              <w:top w:val="single" w:sz="4" w:color="D9D9D9"/>
              <w:left w:val="single" w:sz="4" w:color="D9D9D9"/>
              <w:bottom w:val="single" w:sz="4" w:color="D9D9D9"/>
              <w:right w:val="single" w:sz="4" w:color="D9D9D9"/>
            </w:tcBorders>
          </w:tcPr>
          <w:p>
            <w:pPr>
              <w:spacing w:after="80" w:before="80"/>
            </w:pPr>
            <w:r>
              <w:rPr>
                <w:b w:val="0"/>
                <w:sz w:val="20"/>
              </w:rPr>
              <w:t>Etkinliğin genel organizasyonundan memnun kaldım.</w:t>
            </w:r>
          </w:p>
        </w:tc>
        <w:tc>
          <w:tcPr>
            <w:tcW w:type="dxa" w:w="720"/>
            <w:tcBorders>
              <w:top w:val="single" w:sz="4" w:color="D9D9D9"/>
              <w:left w:val="single" w:sz="4" w:color="D9D9D9"/>
              <w:bottom w:val="single" w:sz="4" w:color="D9D9D9"/>
              <w:right w:val="single" w:sz="4" w:color="D9D9D9"/>
            </w:tcBorders>
          </w:tcPr>
          <w:p>
            <w:pPr>
              <w:spacing w:after="80" w:before="80"/>
            </w:pPr>
            <w:r>
              <w:rPr>
                <w:b w:val="0"/>
                <w:sz w:val="20"/>
              </w:rPr>
              <w:t>4,50</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%90,0</w:t>
            </w:r>
          </w:p>
        </w:tc>
        <w:tc>
          <w:tcPr>
            <w:tcW w:type="dxa" w:w="1008"/>
            <w:tcBorders>
              <w:top w:val="single" w:sz="4" w:color="D9D9D9"/>
              <w:left w:val="single" w:sz="4" w:color="D9D9D9"/>
              <w:bottom w:val="single" w:sz="4" w:color="D9D9D9"/>
              <w:right w:val="single" w:sz="4" w:color="D9D9D9"/>
            </w:tcBorders>
          </w:tcPr>
          <w:p>
            <w:pPr>
              <w:spacing w:after="80" w:before="80"/>
            </w:pPr>
            <w:r>
              <w:rPr>
                <w:b w:val="0"/>
                <w:sz w:val="20"/>
              </w:rPr>
              <w:t>%6,7</w:t>
            </w:r>
          </w:p>
        </w:tc>
        <w:tc>
          <w:tcPr>
            <w:tcW w:type="dxa" w:w="1152"/>
            <w:tcBorders>
              <w:top w:val="single" w:sz="4" w:color="D9D9D9"/>
              <w:left w:val="single" w:sz="4" w:color="D9D9D9"/>
              <w:bottom w:val="single" w:sz="4" w:color="D9D9D9"/>
              <w:right w:val="single" w:sz="4" w:color="D9D9D9"/>
            </w:tcBorders>
          </w:tcPr>
          <w:p>
            <w:pPr>
              <w:spacing w:after="80" w:before="80"/>
            </w:pPr>
            <w:r>
              <w:rPr>
                <w:b w:val="0"/>
                <w:sz w:val="20"/>
              </w:rPr>
              <w:t>%3,3</w:t>
            </w:r>
          </w:p>
        </w:tc>
      </w:tr>
    </w:tbl>
    <w:p>
      <w:pPr>
        <w:spacing w:after="120"/>
        <w:jc w:val="both"/>
      </w:pPr>
    </w:p>
    <w:p>
      <w:pPr>
        <w:spacing w:after="120"/>
        <w:jc w:val="both"/>
      </w:pPr>
      <w:r>
        <w:t>En yüksek ortalama samimi ve etkili iletişim kurulması maddesinde (4,63/5; %93,3 olumlu yanıt), en düşük ortalama görüş ve önerilerin rahatlıkla ifade edilmesi maddesinde (4,20/5; %76,7 olumlu yanıt) görülmüştür. İletişime ilişkin olumlu değerlendirmeye rağmen her öğrencinin söz almasını kolaylaştıracak yöntemlerin geliştirilmesi yararlı olacaktır. Etkinlik süresi 4,23/5, buluşmaların düzenli yapılması isteği 4,30/5 ortalamaya sahiptir.</w:t>
      </w:r>
    </w:p>
    <w:p>
      <w:pPr>
        <w:pStyle w:val="Balk1"/>
        <w:spacing w:after="120"/>
      </w:pPr>
      <w:r>
        <w:t>4. ETKİNLİĞİN GENEL DEĞERLENDİRMESİ</w:t>
      </w:r>
    </w:p>
    <w:p>
      <w:pPr>
        <w:spacing w:after="120"/>
        <w:jc w:val="both"/>
      </w:pPr>
      <w:r>
        <w:t>Ankette ayrı bir genel etkinlik puanı sorusu bulunmamaktadır. Bu bölümde genel organizasyon memnuniyeti maddesinin dağılımı sunulmuştur; tüm maddelerin birleşik ortalaması ise 4,41/5 düzeyindedir.</w:t>
      </w:r>
    </w:p>
    <w:tbl>
      <w:tblPr>
        <w:tblW w:type="auto" w:w="0"/>
        <w:tblLayout w:type="fixed"/>
        <w:tblLook w:firstColumn="1" w:firstRow="1" w:lastColumn="0" w:lastRow="0" w:noHBand="0" w:noVBand="1" w:val="04A0"/>
      </w:tblPr>
      <w:tblGrid>
        <w:gridCol w:w="4032"/>
        <w:gridCol w:w="2880"/>
        <w:gridCol w:w="2592"/>
      </w:tblGrid>
      <w:tr>
        <w:trPr>
          <w:cantSplit/>
          <w:tblHeader/>
        </w:trPr>
        <w:tc>
          <w:tcPr>
            <w:tcW w:type="dxa" w:w="4032"/>
            <w:tcBorders>
              <w:top w:val="single" w:sz="4" w:color="D9D9D9"/>
              <w:left w:val="single" w:sz="4" w:color="D9D9D9"/>
              <w:bottom w:val="single" w:sz="4" w:color="D9D9D9"/>
              <w:right w:val="single" w:sz="4" w:color="D9D9D9"/>
            </w:tcBorders>
            <w:shd w:fill="E7E6E6"/>
          </w:tcPr>
          <w:p>
            <w:pPr>
              <w:spacing w:after="80" w:before="80"/>
            </w:pPr>
            <w:r>
              <w:rPr>
                <w:b/>
                <w:sz w:val="22"/>
              </w:rPr>
              <w:t>Puan</w:t>
            </w:r>
          </w:p>
        </w:tc>
        <w:tc>
          <w:tcPr>
            <w:tcW w:type="dxa" w:w="2880"/>
            <w:tcBorders>
              <w:top w:val="single" w:sz="4" w:color="D9D9D9"/>
              <w:left w:val="single" w:sz="4" w:color="D9D9D9"/>
              <w:bottom w:val="single" w:sz="4" w:color="D9D9D9"/>
              <w:right w:val="single" w:sz="4" w:color="D9D9D9"/>
            </w:tcBorders>
            <w:shd w:fill="E7E6E6"/>
          </w:tcPr>
          <w:p>
            <w:pPr>
              <w:spacing w:after="80" w:before="80"/>
            </w:pPr>
            <w:r>
              <w:rPr>
                <w:b/>
                <w:sz w:val="22"/>
              </w:rPr>
              <w:t>Katılımcı sayısı</w:t>
            </w:r>
          </w:p>
        </w:tc>
        <w:tc>
          <w:tcPr>
            <w:tcW w:type="dxa" w:w="2592"/>
            <w:tcBorders>
              <w:top w:val="single" w:sz="4" w:color="D9D9D9"/>
              <w:left w:val="single" w:sz="4" w:color="D9D9D9"/>
              <w:bottom w:val="single" w:sz="4" w:color="D9D9D9"/>
              <w:right w:val="single" w:sz="4" w:color="D9D9D9"/>
            </w:tcBorders>
            <w:shd w:fill="E7E6E6"/>
          </w:tcPr>
          <w:p>
            <w:pPr>
              <w:spacing w:after="80" w:before="80"/>
            </w:pPr>
            <w:r>
              <w:rPr>
                <w:b/>
                <w:sz w:val="22"/>
              </w:rPr>
              <w:t>Oran</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1 puan</w:t>
            </w:r>
          </w:p>
        </w:tc>
        <w:tc>
          <w:tcPr>
            <w:tcW w:type="dxa" w:w="2880"/>
            <w:tcBorders>
              <w:top w:val="single" w:sz="4" w:color="D9D9D9"/>
              <w:left w:val="single" w:sz="4" w:color="D9D9D9"/>
              <w:bottom w:val="single" w:sz="4" w:color="D9D9D9"/>
              <w:right w:val="single" w:sz="4" w:color="D9D9D9"/>
            </w:tcBorders>
          </w:tcPr>
          <w:p>
            <w:pPr>
              <w:spacing w:after="80" w:before="80"/>
            </w:pPr>
            <w:r>
              <w:rPr>
                <w:b w:val="0"/>
                <w:sz w:val="22"/>
              </w:rPr>
              <w:t>0</w:t>
            </w:r>
          </w:p>
        </w:tc>
        <w:tc>
          <w:tcPr>
            <w:tcW w:type="dxa" w:w="2592"/>
            <w:tcBorders>
              <w:top w:val="single" w:sz="4" w:color="D9D9D9"/>
              <w:left w:val="single" w:sz="4" w:color="D9D9D9"/>
              <w:bottom w:val="single" w:sz="4" w:color="D9D9D9"/>
              <w:right w:val="single" w:sz="4" w:color="D9D9D9"/>
            </w:tcBorders>
          </w:tcPr>
          <w:p>
            <w:pPr>
              <w:spacing w:after="80" w:before="80"/>
            </w:pPr>
            <w:r>
              <w:rPr>
                <w:b w:val="0"/>
                <w:sz w:val="22"/>
              </w:rPr>
              <w:t>%0,0</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2 puan</w:t>
            </w:r>
          </w:p>
        </w:tc>
        <w:tc>
          <w:tcPr>
            <w:tcW w:type="dxa" w:w="2880"/>
            <w:tcBorders>
              <w:top w:val="single" w:sz="4" w:color="D9D9D9"/>
              <w:left w:val="single" w:sz="4" w:color="D9D9D9"/>
              <w:bottom w:val="single" w:sz="4" w:color="D9D9D9"/>
              <w:right w:val="single" w:sz="4" w:color="D9D9D9"/>
            </w:tcBorders>
          </w:tcPr>
          <w:p>
            <w:pPr>
              <w:spacing w:after="80" w:before="80"/>
            </w:pPr>
            <w:r>
              <w:rPr>
                <w:b w:val="0"/>
                <w:sz w:val="22"/>
              </w:rPr>
              <w:t>1</w:t>
            </w:r>
          </w:p>
        </w:tc>
        <w:tc>
          <w:tcPr>
            <w:tcW w:type="dxa" w:w="2592"/>
            <w:tcBorders>
              <w:top w:val="single" w:sz="4" w:color="D9D9D9"/>
              <w:left w:val="single" w:sz="4" w:color="D9D9D9"/>
              <w:bottom w:val="single" w:sz="4" w:color="D9D9D9"/>
              <w:right w:val="single" w:sz="4" w:color="D9D9D9"/>
            </w:tcBorders>
          </w:tcPr>
          <w:p>
            <w:pPr>
              <w:spacing w:after="80" w:before="80"/>
            </w:pPr>
            <w:r>
              <w:rPr>
                <w:b w:val="0"/>
                <w:sz w:val="22"/>
              </w:rPr>
              <w:t>%3,3</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3 puan</w:t>
            </w:r>
          </w:p>
        </w:tc>
        <w:tc>
          <w:tcPr>
            <w:tcW w:type="dxa" w:w="2880"/>
            <w:tcBorders>
              <w:top w:val="single" w:sz="4" w:color="D9D9D9"/>
              <w:left w:val="single" w:sz="4" w:color="D9D9D9"/>
              <w:bottom w:val="single" w:sz="4" w:color="D9D9D9"/>
              <w:right w:val="single" w:sz="4" w:color="D9D9D9"/>
            </w:tcBorders>
          </w:tcPr>
          <w:p>
            <w:pPr>
              <w:spacing w:after="80" w:before="80"/>
            </w:pPr>
            <w:r>
              <w:rPr>
                <w:b w:val="0"/>
                <w:sz w:val="22"/>
              </w:rPr>
              <w:t>2</w:t>
            </w:r>
          </w:p>
        </w:tc>
        <w:tc>
          <w:tcPr>
            <w:tcW w:type="dxa" w:w="2592"/>
            <w:tcBorders>
              <w:top w:val="single" w:sz="4" w:color="D9D9D9"/>
              <w:left w:val="single" w:sz="4" w:color="D9D9D9"/>
              <w:bottom w:val="single" w:sz="4" w:color="D9D9D9"/>
              <w:right w:val="single" w:sz="4" w:color="D9D9D9"/>
            </w:tcBorders>
          </w:tcPr>
          <w:p>
            <w:pPr>
              <w:spacing w:after="80" w:before="80"/>
            </w:pPr>
            <w:r>
              <w:rPr>
                <w:b w:val="0"/>
                <w:sz w:val="22"/>
              </w:rPr>
              <w:t>%6,7</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4 puan</w:t>
            </w:r>
          </w:p>
        </w:tc>
        <w:tc>
          <w:tcPr>
            <w:tcW w:type="dxa" w:w="2880"/>
            <w:tcBorders>
              <w:top w:val="single" w:sz="4" w:color="D9D9D9"/>
              <w:left w:val="single" w:sz="4" w:color="D9D9D9"/>
              <w:bottom w:val="single" w:sz="4" w:color="D9D9D9"/>
              <w:right w:val="single" w:sz="4" w:color="D9D9D9"/>
            </w:tcBorders>
          </w:tcPr>
          <w:p>
            <w:pPr>
              <w:spacing w:after="80" w:before="80"/>
            </w:pPr>
            <w:r>
              <w:rPr>
                <w:b w:val="0"/>
                <w:sz w:val="22"/>
              </w:rPr>
              <w:t>8</w:t>
            </w:r>
          </w:p>
        </w:tc>
        <w:tc>
          <w:tcPr>
            <w:tcW w:type="dxa" w:w="2592"/>
            <w:tcBorders>
              <w:top w:val="single" w:sz="4" w:color="D9D9D9"/>
              <w:left w:val="single" w:sz="4" w:color="D9D9D9"/>
              <w:bottom w:val="single" w:sz="4" w:color="D9D9D9"/>
              <w:right w:val="single" w:sz="4" w:color="D9D9D9"/>
            </w:tcBorders>
          </w:tcPr>
          <w:p>
            <w:pPr>
              <w:spacing w:after="80" w:before="80"/>
            </w:pPr>
            <w:r>
              <w:rPr>
                <w:b w:val="0"/>
                <w:sz w:val="22"/>
              </w:rPr>
              <w:t>%26,7</w:t>
            </w:r>
          </w:p>
        </w:tc>
      </w:tr>
      <w:tr>
        <w:trPr>
          <w:cantSplit/>
        </w:trPr>
        <w:tc>
          <w:tcPr>
            <w:tcW w:type="dxa" w:w="4032"/>
            <w:tcBorders>
              <w:top w:val="single" w:sz="4" w:color="D9D9D9"/>
              <w:left w:val="single" w:sz="4" w:color="D9D9D9"/>
              <w:bottom w:val="single" w:sz="4" w:color="D9D9D9"/>
              <w:right w:val="single" w:sz="4" w:color="D9D9D9"/>
            </w:tcBorders>
          </w:tcPr>
          <w:p>
            <w:pPr>
              <w:spacing w:after="80" w:before="80"/>
            </w:pPr>
            <w:r>
              <w:rPr>
                <w:b w:val="0"/>
                <w:sz w:val="22"/>
              </w:rPr>
              <w:t>5 puan</w:t>
            </w:r>
          </w:p>
        </w:tc>
        <w:tc>
          <w:tcPr>
            <w:tcW w:type="dxa" w:w="2880"/>
            <w:tcBorders>
              <w:top w:val="single" w:sz="4" w:color="D9D9D9"/>
              <w:left w:val="single" w:sz="4" w:color="D9D9D9"/>
              <w:bottom w:val="single" w:sz="4" w:color="D9D9D9"/>
              <w:right w:val="single" w:sz="4" w:color="D9D9D9"/>
            </w:tcBorders>
          </w:tcPr>
          <w:p>
            <w:pPr>
              <w:spacing w:after="80" w:before="80"/>
            </w:pPr>
            <w:r>
              <w:rPr>
                <w:b w:val="0"/>
                <w:sz w:val="22"/>
              </w:rPr>
              <w:t>19</w:t>
            </w:r>
          </w:p>
        </w:tc>
        <w:tc>
          <w:tcPr>
            <w:tcW w:type="dxa" w:w="2592"/>
            <w:tcBorders>
              <w:top w:val="single" w:sz="4" w:color="D9D9D9"/>
              <w:left w:val="single" w:sz="4" w:color="D9D9D9"/>
              <w:bottom w:val="single" w:sz="4" w:color="D9D9D9"/>
              <w:right w:val="single" w:sz="4" w:color="D9D9D9"/>
            </w:tcBorders>
          </w:tcPr>
          <w:p>
            <w:pPr>
              <w:spacing w:after="80" w:before="80"/>
            </w:pPr>
            <w:r>
              <w:rPr>
                <w:b w:val="0"/>
                <w:sz w:val="22"/>
              </w:rPr>
              <w:t>%63,3</w:t>
            </w:r>
          </w:p>
        </w:tc>
      </w:tr>
    </w:tbl>
    <w:p>
      <w:pPr>
        <w:spacing w:after="120"/>
        <w:jc w:val="both"/>
      </w:pPr>
    </w:p>
    <w:p>
      <w:pPr>
        <w:spacing w:after="120"/>
        <w:jc w:val="both"/>
      </w:pPr>
      <w:r>
        <w:t>Genel organizasyon memnuniyeti ortalaması 4,50/5 olarak hesaplanmıştır. Katılımcıların 27’si (%90,0) bu maddeye 4 veya 5 puan vermiştir. Etkinliğin genel faydasına ilişkin ortalama 4,40/5, olumlu yanıt oranı %86,7’dir. Organizasyon memnuniyeti ile genel fayda birbirinden ayrı maddelerdir.</w:t>
      </w:r>
    </w:p>
    <w:p>
      <w:pPr>
        <w:pStyle w:val="Balk1"/>
        <w:spacing w:after="120"/>
      </w:pPr>
      <w:r>
        <w:t>5. GELECEK DÖNEM İÇİN ÖNCELİKLİ FAALİYETLER</w:t>
      </w:r>
    </w:p>
    <w:tbl>
      <w:tblPr>
        <w:tblW w:type="auto" w:w="0"/>
        <w:tblLayout w:type="fixed"/>
        <w:tblLook w:firstColumn="1" w:firstRow="1" w:lastColumn="0" w:lastRow="0" w:noHBand="0" w:noVBand="1" w:val="04A0"/>
      </w:tblPr>
      <w:tblGrid>
        <w:gridCol w:w="5184"/>
        <w:gridCol w:w="1440"/>
        <w:gridCol w:w="1440"/>
        <w:gridCol w:w="1440"/>
      </w:tblGrid>
      <w:tr>
        <w:trPr>
          <w:cantSplit/>
          <w:tblHeader/>
        </w:trPr>
        <w:tc>
          <w:tcPr>
            <w:tcW w:type="dxa" w:w="5184"/>
            <w:tcBorders>
              <w:top w:val="single" w:sz="4" w:color="D9D9D9"/>
              <w:left w:val="single" w:sz="4" w:color="D9D9D9"/>
              <w:bottom w:val="single" w:sz="4" w:color="D9D9D9"/>
              <w:right w:val="single" w:sz="4" w:color="D9D9D9"/>
            </w:tcBorders>
            <w:shd w:fill="E7E6E6"/>
          </w:tcPr>
          <w:p>
            <w:pPr>
              <w:spacing w:after="80" w:before="80"/>
            </w:pPr>
            <w:r>
              <w:rPr>
                <w:b/>
                <w:sz w:val="20"/>
              </w:rPr>
              <w:t>Faaliyet</w:t>
            </w:r>
          </w:p>
        </w:tc>
        <w:tc>
          <w:tcPr>
            <w:tcW w:type="dxa" w:w="1440"/>
            <w:tcBorders>
              <w:top w:val="single" w:sz="4" w:color="D9D9D9"/>
              <w:left w:val="single" w:sz="4" w:color="D9D9D9"/>
              <w:bottom w:val="single" w:sz="4" w:color="D9D9D9"/>
              <w:right w:val="single" w:sz="4" w:color="D9D9D9"/>
            </w:tcBorders>
            <w:shd w:fill="E7E6E6"/>
          </w:tcPr>
          <w:p>
            <w:pPr>
              <w:spacing w:after="80" w:before="80"/>
            </w:pPr>
            <w:r>
              <w:rPr>
                <w:b/>
                <w:sz w:val="20"/>
              </w:rPr>
              <w:t>Evet sayısı</w:t>
            </w:r>
          </w:p>
        </w:tc>
        <w:tc>
          <w:tcPr>
            <w:tcW w:type="dxa" w:w="1440"/>
            <w:tcBorders>
              <w:top w:val="single" w:sz="4" w:color="D9D9D9"/>
              <w:left w:val="single" w:sz="4" w:color="D9D9D9"/>
              <w:bottom w:val="single" w:sz="4" w:color="D9D9D9"/>
              <w:right w:val="single" w:sz="4" w:color="D9D9D9"/>
            </w:tcBorders>
            <w:shd w:fill="E7E6E6"/>
          </w:tcPr>
          <w:p>
            <w:pPr>
              <w:spacing w:after="80" w:before="80"/>
            </w:pPr>
            <w:r>
              <w:rPr>
                <w:b/>
                <w:sz w:val="20"/>
              </w:rPr>
              <w:t>Tercih oranı</w:t>
            </w:r>
          </w:p>
        </w:tc>
        <w:tc>
          <w:tcPr>
            <w:tcW w:type="dxa" w:w="1440"/>
            <w:tcBorders>
              <w:top w:val="single" w:sz="4" w:color="D9D9D9"/>
              <w:left w:val="single" w:sz="4" w:color="D9D9D9"/>
              <w:bottom w:val="single" w:sz="4" w:color="D9D9D9"/>
              <w:right w:val="single" w:sz="4" w:color="D9D9D9"/>
            </w:tcBorders>
            <w:shd w:fill="E7E6E6"/>
          </w:tcPr>
          <w:p>
            <w:pPr>
              <w:spacing w:after="80" w:before="80"/>
            </w:pPr>
            <w:r>
              <w:rPr>
                <w:b/>
                <w:sz w:val="20"/>
              </w:rPr>
              <w:t>Hayır sayısı</w:t>
            </w:r>
          </w:p>
        </w:tc>
      </w:tr>
      <w:tr>
        <w:trPr>
          <w:cantSplit/>
        </w:trPr>
        <w:tc>
          <w:tcPr>
            <w:tcW w:type="dxa" w:w="5184"/>
            <w:tcBorders>
              <w:top w:val="single" w:sz="4" w:color="D9D9D9"/>
              <w:left w:val="single" w:sz="4" w:color="D9D9D9"/>
              <w:bottom w:val="single" w:sz="4" w:color="D9D9D9"/>
              <w:right w:val="single" w:sz="4" w:color="D9D9D9"/>
            </w:tcBorders>
          </w:tcPr>
          <w:p>
            <w:pPr>
              <w:spacing w:after="80" w:before="80"/>
            </w:pPr>
            <w:r>
              <w:rPr>
                <w:b w:val="0"/>
                <w:sz w:val="20"/>
              </w:rPr>
              <w:t>Sosyal ve kültürel geziler</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16</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%53,3</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14</w:t>
            </w:r>
          </w:p>
        </w:tc>
      </w:tr>
      <w:tr>
        <w:trPr>
          <w:cantSplit/>
        </w:trPr>
        <w:tc>
          <w:tcPr>
            <w:tcW w:type="dxa" w:w="5184"/>
            <w:tcBorders>
              <w:top w:val="single" w:sz="4" w:color="D9D9D9"/>
              <w:left w:val="single" w:sz="4" w:color="D9D9D9"/>
              <w:bottom w:val="single" w:sz="4" w:color="D9D9D9"/>
              <w:right w:val="single" w:sz="4" w:color="D9D9D9"/>
            </w:tcBorders>
          </w:tcPr>
          <w:p>
            <w:pPr>
              <w:spacing w:after="80" w:before="80"/>
            </w:pPr>
            <w:r>
              <w:rPr>
                <w:b w:val="0"/>
                <w:sz w:val="20"/>
              </w:rPr>
              <w:t>Sportif faaliyetler ve turnuvalar</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11</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%36,7</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19</w:t>
            </w:r>
          </w:p>
        </w:tc>
      </w:tr>
      <w:tr>
        <w:trPr>
          <w:cantSplit/>
        </w:trPr>
        <w:tc>
          <w:tcPr>
            <w:tcW w:type="dxa" w:w="5184"/>
            <w:tcBorders>
              <w:top w:val="single" w:sz="4" w:color="D9D9D9"/>
              <w:left w:val="single" w:sz="4" w:color="D9D9D9"/>
              <w:bottom w:val="single" w:sz="4" w:color="D9D9D9"/>
              <w:right w:val="single" w:sz="4" w:color="D9D9D9"/>
            </w:tcBorders>
          </w:tcPr>
          <w:p>
            <w:pPr>
              <w:spacing w:after="80" w:before="80"/>
            </w:pPr>
            <w:r>
              <w:rPr>
                <w:b w:val="0"/>
                <w:sz w:val="20"/>
              </w:rPr>
              <w:t>Sosyal geziler</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11</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%36,7</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19</w:t>
            </w:r>
          </w:p>
        </w:tc>
      </w:tr>
      <w:tr>
        <w:trPr>
          <w:cantSplit/>
        </w:trPr>
        <w:tc>
          <w:tcPr>
            <w:tcW w:type="dxa" w:w="5184"/>
            <w:tcBorders>
              <w:top w:val="single" w:sz="4" w:color="D9D9D9"/>
              <w:left w:val="single" w:sz="4" w:color="D9D9D9"/>
              <w:bottom w:val="single" w:sz="4" w:color="D9D9D9"/>
              <w:right w:val="single" w:sz="4" w:color="D9D9D9"/>
            </w:tcBorders>
          </w:tcPr>
          <w:p>
            <w:pPr>
              <w:spacing w:after="80" w:before="80"/>
            </w:pPr>
            <w:r>
              <w:rPr>
                <w:b w:val="0"/>
                <w:sz w:val="20"/>
              </w:rPr>
              <w:t>Bölüm/programlara yönelik mesleki etkinlikler</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11</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%36,7</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19</w:t>
            </w:r>
          </w:p>
        </w:tc>
      </w:tr>
      <w:tr>
        <w:trPr>
          <w:cantSplit/>
        </w:trPr>
        <w:tc>
          <w:tcPr>
            <w:tcW w:type="dxa" w:w="5184"/>
            <w:tcBorders>
              <w:top w:val="single" w:sz="4" w:color="D9D9D9"/>
              <w:left w:val="single" w:sz="4" w:color="D9D9D9"/>
              <w:bottom w:val="single" w:sz="4" w:color="D9D9D9"/>
              <w:right w:val="single" w:sz="4" w:color="D9D9D9"/>
            </w:tcBorders>
          </w:tcPr>
          <w:p>
            <w:pPr>
              <w:spacing w:after="80" w:before="80"/>
            </w:pPr>
            <w:r>
              <w:rPr>
                <w:b w:val="0"/>
                <w:sz w:val="20"/>
              </w:rPr>
              <w:t>Trabzon Devlet Tiyatrosu etkinlikleri</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10</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%33,3</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20</w:t>
            </w:r>
          </w:p>
        </w:tc>
      </w:tr>
      <w:tr>
        <w:trPr>
          <w:cantSplit/>
        </w:trPr>
        <w:tc>
          <w:tcPr>
            <w:tcW w:type="dxa" w:w="5184"/>
            <w:tcBorders>
              <w:top w:val="single" w:sz="4" w:color="D9D9D9"/>
              <w:left w:val="single" w:sz="4" w:color="D9D9D9"/>
              <w:bottom w:val="single" w:sz="4" w:color="D9D9D9"/>
              <w:right w:val="single" w:sz="4" w:color="D9D9D9"/>
            </w:tcBorders>
          </w:tcPr>
          <w:p>
            <w:pPr>
              <w:spacing w:after="80" w:before="80"/>
            </w:pPr>
            <w:r>
              <w:rPr>
                <w:b w:val="0"/>
                <w:sz w:val="20"/>
              </w:rPr>
              <w:t>Diğer</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1</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%3,3</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29</w:t>
            </w:r>
          </w:p>
        </w:tc>
      </w:tr>
      <w:tr>
        <w:trPr>
          <w:cantSplit/>
        </w:trPr>
        <w:tc>
          <w:tcPr>
            <w:tcW w:type="dxa" w:w="5184"/>
            <w:tcBorders>
              <w:top w:val="single" w:sz="4" w:color="D9D9D9"/>
              <w:left w:val="single" w:sz="4" w:color="D9D9D9"/>
              <w:bottom w:val="single" w:sz="4" w:color="D9D9D9"/>
              <w:right w:val="single" w:sz="4" w:color="D9D9D9"/>
            </w:tcBorders>
          </w:tcPr>
          <w:p>
            <w:pPr>
              <w:spacing w:after="80" w:before="80"/>
            </w:pPr>
            <w:r>
              <w:rPr>
                <w:b w:val="0"/>
                <w:sz w:val="20"/>
              </w:rPr>
              <w:t>Söyleşi, konferans ve seminerler</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0</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%0,0</w:t>
            </w:r>
          </w:p>
        </w:tc>
        <w:tc>
          <w:tcPr>
            <w:tcW w:type="dxa" w:w="1440"/>
            <w:tcBorders>
              <w:top w:val="single" w:sz="4" w:color="D9D9D9"/>
              <w:left w:val="single" w:sz="4" w:color="D9D9D9"/>
              <w:bottom w:val="single" w:sz="4" w:color="D9D9D9"/>
              <w:right w:val="single" w:sz="4" w:color="D9D9D9"/>
            </w:tcBorders>
          </w:tcPr>
          <w:p>
            <w:pPr>
              <w:spacing w:after="80" w:before="80"/>
            </w:pPr>
            <w:r>
              <w:rPr>
                <w:b w:val="0"/>
                <w:sz w:val="20"/>
              </w:rPr>
              <w:t>30</w:t>
            </w:r>
          </w:p>
        </w:tc>
      </w:tr>
    </w:tbl>
    <w:p>
      <w:pPr>
        <w:spacing w:after="120"/>
        <w:jc w:val="both"/>
      </w:pPr>
    </w:p>
    <w:p>
      <w:pPr>
        <w:spacing w:after="120"/>
        <w:jc w:val="both"/>
      </w:pPr>
      <w:r>
        <w:t>Sosyal ve kültürel geziler %53,3 ile ilk sıradadır. Sportif faaliyetler ve turnuvalar, sosyal geziler ve mesleki etkinlikler ayrı ayrı %36,7 oranında tercih edilmiştir. Sosyal ve kültürel geziler ile sosyal geziler ankette ayrı seçenekler olduğundan kişi bazında mükerrer sayımı önlemek için birleştirilmemiştir. Söyleşi, konferans ve seminerler seçeneğinin işaretlenmemesi, açık uçlu yanıtlarda yer alan uzmanlarla sohbet ve eğitim talebinin bulunmadığı anlamına gelmez.</w:t>
      </w:r>
    </w:p>
    <w:p>
      <w:pPr>
        <w:pStyle w:val="Balk1"/>
        <w:spacing w:after="120"/>
      </w:pPr>
      <w:r>
        <w:t>6. AÇIK UÇLU GÖRÜŞLERİN TEMATİK ANALİZİ</w:t>
      </w:r>
    </w:p>
    <w:p>
      <w:pPr>
        <w:pStyle w:val="Balk2"/>
        <w:spacing w:after="120"/>
      </w:pPr>
      <w:r>
        <w:t>6.1. Müdür–Öğrenci Buluşmasına ilişkin görüş ve öneriler</w:t>
      </w:r>
    </w:p>
    <w:p>
      <w:pPr>
        <w:spacing w:after="120"/>
        <w:jc w:val="both"/>
      </w:pPr>
      <w:r>
        <w:t>Bu soruda 24 metin yanıtı bulunmaktadır. İki yanıt yalnızca nokta içerdiğinden dışlanmış; kalan 22 yanıt değerlendirilmiştir. Bunların 14’ü ek görüş veya öneri olmadığını belirtmektedir. Bu yanıtlar tek başına memnuniyet kanıtı olarak yorumlanmamıştır.</w:t>
      </w:r>
    </w:p>
    <w:tbl>
      <w:tblPr>
        <w:tblW w:type="auto" w:w="0"/>
        <w:tblLayout w:type="fixed"/>
        <w:tblLook w:firstColumn="1" w:firstRow="1" w:lastColumn="0" w:lastRow="0" w:noHBand="0" w:noVBand="1" w:val="04A0"/>
      </w:tblPr>
      <w:tblGrid>
        <w:gridCol w:w="7200"/>
        <w:gridCol w:w="2304"/>
      </w:tblGrid>
      <w:tr>
        <w:trPr>
          <w:cantSplit/>
          <w:tblHeader/>
        </w:trPr>
        <w:tc>
          <w:tcPr>
            <w:tcW w:type="dxa" w:w="7200"/>
            <w:tcBorders>
              <w:top w:val="single" w:sz="4" w:color="D9D9D9"/>
              <w:left w:val="single" w:sz="4" w:color="D9D9D9"/>
              <w:bottom w:val="single" w:sz="4" w:color="D9D9D9"/>
              <w:right w:val="single" w:sz="4" w:color="D9D9D9"/>
            </w:tcBorders>
            <w:shd w:fill="E7E6E6"/>
          </w:tcPr>
          <w:p>
            <w:pPr>
              <w:spacing w:after="80" w:before="80"/>
            </w:pPr>
            <w:r>
              <w:rPr>
                <w:b/>
                <w:sz w:val="22"/>
              </w:rPr>
              <w:t>Tema</w:t>
            </w:r>
          </w:p>
        </w:tc>
        <w:tc>
          <w:tcPr>
            <w:tcW w:type="dxa" w:w="2304"/>
            <w:tcBorders>
              <w:top w:val="single" w:sz="4" w:color="D9D9D9"/>
              <w:left w:val="single" w:sz="4" w:color="D9D9D9"/>
              <w:bottom w:val="single" w:sz="4" w:color="D9D9D9"/>
              <w:right w:val="single" w:sz="4" w:color="D9D9D9"/>
            </w:tcBorders>
            <w:shd w:fill="E7E6E6"/>
          </w:tcPr>
          <w:p>
            <w:pPr>
              <w:spacing w:after="80" w:before="80"/>
            </w:pPr>
            <w:r>
              <w:rPr>
                <w:b/>
                <w:sz w:val="22"/>
              </w:rPr>
              <w:t>Tespit edilen yanıt sayısı</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Ek görüş veya öneri bulunmaması</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14</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Açık olumlu değerlendirme veya teşekkür</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6</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Her dönem buluşma düzenlenmesi</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1</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Mevcut durumu yeterli bulma</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1</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Mescit ve abdest alma alanına ilişkin talep</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1</w:t>
            </w:r>
          </w:p>
        </w:tc>
      </w:tr>
    </w:tbl>
    <w:p>
      <w:pPr>
        <w:spacing w:after="120"/>
        <w:jc w:val="both"/>
      </w:pPr>
    </w:p>
    <w:p>
      <w:pPr>
        <w:spacing w:after="120"/>
        <w:jc w:val="both"/>
      </w:pPr>
      <w:r>
        <w:t>Olumlu değerlendirmelerde müdürün samimiyeti ve anlayışı, öğrencilerin taleplerini ifade edebilmesi ve buluşmanın verimliliği öne çıkmaktadır. Bir yanıtta mescit ve abdest alma alanına ilişkin ihtiyaç dile getirilmiştir. Bu ifade öğrenci talebi olarak kaydedilmiş olup mevcut fiziki koşulların doğrulandığı anlamına gelmemektedir. Aynı yanıtta hem teşekkür hem fiziki alan talebi bulunduğundan tema sayıları birbirini dışlamamaktadır.</w:t>
      </w:r>
    </w:p>
    <w:p>
      <w:pPr>
        <w:pStyle w:val="Balk2"/>
        <w:spacing w:after="120"/>
      </w:pPr>
      <w:r>
        <w:t>6.2. Eğitim alınan programa yönelik etkinlik beklentileri</w:t>
      </w:r>
    </w:p>
    <w:p>
      <w:pPr>
        <w:spacing w:after="120"/>
        <w:jc w:val="both"/>
      </w:pPr>
      <w:r>
        <w:t>Bu soruda 24 metin yanıtı bulunmakta, yalnızca nokta içeren bir yanıt dışlandığında 23 yanıt değerlendirilmektedir. Tema sayıları yalnızca bu soruya verilen yanıtlar üzerinden hesaplanmıştır; faaliyet seçeneklerinin açıklama hücreleri bu sayılara eklenmemiştir.</w:t>
      </w:r>
    </w:p>
    <w:tbl>
      <w:tblPr>
        <w:tblW w:type="auto" w:w="0"/>
        <w:tblLayout w:type="fixed"/>
        <w:tblLook w:firstColumn="1" w:firstRow="1" w:lastColumn="0" w:lastRow="0" w:noHBand="0" w:noVBand="1" w:val="04A0"/>
      </w:tblPr>
      <w:tblGrid>
        <w:gridCol w:w="7200"/>
        <w:gridCol w:w="2304"/>
      </w:tblGrid>
      <w:tr>
        <w:trPr>
          <w:cantSplit/>
          <w:tblHeader/>
        </w:trPr>
        <w:tc>
          <w:tcPr>
            <w:tcW w:type="dxa" w:w="7200"/>
            <w:tcBorders>
              <w:top w:val="single" w:sz="4" w:color="D9D9D9"/>
              <w:left w:val="single" w:sz="4" w:color="D9D9D9"/>
              <w:bottom w:val="single" w:sz="4" w:color="D9D9D9"/>
              <w:right w:val="single" w:sz="4" w:color="D9D9D9"/>
            </w:tcBorders>
            <w:shd w:fill="E7E6E6"/>
          </w:tcPr>
          <w:p>
            <w:pPr>
              <w:spacing w:after="80" w:before="80"/>
            </w:pPr>
            <w:r>
              <w:rPr>
                <w:b/>
                <w:sz w:val="22"/>
              </w:rPr>
              <w:t>Tema</w:t>
            </w:r>
          </w:p>
        </w:tc>
        <w:tc>
          <w:tcPr>
            <w:tcW w:type="dxa" w:w="2304"/>
            <w:tcBorders>
              <w:top w:val="single" w:sz="4" w:color="D9D9D9"/>
              <w:left w:val="single" w:sz="4" w:color="D9D9D9"/>
              <w:bottom w:val="single" w:sz="4" w:color="D9D9D9"/>
              <w:right w:val="single" w:sz="4" w:color="D9D9D9"/>
            </w:tcBorders>
            <w:shd w:fill="E7E6E6"/>
          </w:tcPr>
          <w:p>
            <w:pPr>
              <w:spacing w:after="80" w:before="80"/>
            </w:pPr>
            <w:r>
              <w:rPr>
                <w:b/>
                <w:sz w:val="22"/>
              </w:rPr>
              <w:t>Tespit edilen yanıt sayısı</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Parkur ve mesleki yarışmalar</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5</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Tatbikat ve saha senaryoları</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5</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Sportif faaliyetler ve turnuvalar</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4</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Eğitim, sertifika veya uzman desteği</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4</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Mevcut eğitimleri yeterli bulma</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3</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Uygulama alanı ihtiyacı</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2</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Sosyal ve kültürel etkinlikler</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2</w:t>
            </w:r>
          </w:p>
        </w:tc>
      </w:tr>
      <w:tr>
        <w:trPr>
          <w:cantSplit/>
        </w:trPr>
        <w:tc>
          <w:tcPr>
            <w:tcW w:type="dxa" w:w="7200"/>
            <w:tcBorders>
              <w:top w:val="single" w:sz="4" w:color="D9D9D9"/>
              <w:left w:val="single" w:sz="4" w:color="D9D9D9"/>
              <w:bottom w:val="single" w:sz="4" w:color="D9D9D9"/>
              <w:right w:val="single" w:sz="4" w:color="D9D9D9"/>
            </w:tcBorders>
          </w:tcPr>
          <w:p>
            <w:pPr>
              <w:spacing w:after="80" w:before="80"/>
            </w:pPr>
            <w:r>
              <w:rPr>
                <w:b w:val="0"/>
                <w:sz w:val="22"/>
              </w:rPr>
              <w:t>Teknoloji ve bilgisayar etkinlikleri</w:t>
            </w:r>
          </w:p>
        </w:tc>
        <w:tc>
          <w:tcPr>
            <w:tcW w:type="dxa" w:w="2304"/>
            <w:tcBorders>
              <w:top w:val="single" w:sz="4" w:color="D9D9D9"/>
              <w:left w:val="single" w:sz="4" w:color="D9D9D9"/>
              <w:bottom w:val="single" w:sz="4" w:color="D9D9D9"/>
              <w:right w:val="single" w:sz="4" w:color="D9D9D9"/>
            </w:tcBorders>
          </w:tcPr>
          <w:p>
            <w:pPr>
              <w:spacing w:after="80" w:before="80"/>
            </w:pPr>
            <w:r>
              <w:rPr>
                <w:b w:val="0"/>
                <w:sz w:val="22"/>
              </w:rPr>
              <w:t>2</w:t>
            </w:r>
          </w:p>
        </w:tc>
      </w:tr>
    </w:tbl>
    <w:p>
      <w:pPr>
        <w:spacing w:after="120"/>
        <w:jc w:val="both"/>
      </w:pPr>
    </w:p>
    <w:p>
      <w:pPr>
        <w:spacing w:after="120"/>
        <w:jc w:val="both"/>
      </w:pPr>
      <w:r>
        <w:t>Öğrenciler parkur, hortum atma ve sınıflar arası yarışmalar; arama-kurtarma tatbikatları ve sahada karşılaşılabilecek durumlara yönelik uygulamalar istemektedir. İki yanıtta uygulama alanı ihtiyacı açıkça belirtilmiştir. Eğitim ve sertifika talepleri AFAD gönüllülüğü, bilişim, arama-kurtarma, dağcılık ve dalış gibi alanları kapsamaktadır. Uzman kişilerle sohbet ve eğitim de önerilmiştir.</w:t>
      </w:r>
    </w:p>
    <w:p>
      <w:pPr>
        <w:spacing w:after="120"/>
        <w:jc w:val="both"/>
      </w:pPr>
      <w:r>
        <w:t>Faaliyet seçeneklerinin açıklamalarında piknik, Sisdağı, Trabzon’daki tarihi yerler, İstanbul gezisi; tiyatro; voleybol, tenis, masa tenisi ve mangala; futbol maçı izleme ve mesleki uygulama yarışmaları yer almaktadır. Diğer seçeneğini işaretleyen bir katılımcı açıklama yazmamıştır. Bu nedenle bu tercihin içeriği belirlenememiştir.</w:t>
      </w:r>
    </w:p>
    <w:p>
      <w:pPr>
        <w:pStyle w:val="Balk1"/>
        <w:spacing w:after="120"/>
      </w:pPr>
      <w:r>
        <w:t>7. GENEL DEĞERLENDİRME</w:t>
      </w:r>
    </w:p>
    <w:p>
      <w:pPr>
        <w:spacing w:after="120"/>
        <w:jc w:val="both"/>
      </w:pPr>
      <w:r>
        <w:t>Bulgular, ankete yanıt verenlerin buluşmayı yüksek düzeyde olumlu değerlendirdiğini göstermektedir. Samimi ve etkili iletişim maddesinin 4,63/5 ortalaması, yönetim ile öğrenciler arasındaki iletişimin güçlü algılandığına işaret etmektedir. Aidiyete katkı ve taleplerin değerlendirmeye alınacağına ilişkin güven maddeleri ayrı ayrı 4,47/5 ortalamaya sahiptir.</w:t>
      </w:r>
    </w:p>
    <w:p>
      <w:pPr>
        <w:spacing w:after="120"/>
        <w:jc w:val="both"/>
      </w:pPr>
      <w:r>
        <w:t>Görüşlerin rahatlıkla ifade edilmesi maddesinin diğer maddelere göre daha düşük ortalamaya sahip olması, katılımcı iletişimini geliştirmek için bir fırsattır. Sosyal ve kültürel gezilere yönelik tercihlerin yanı sıra mesleki uygulama, tatbikat ve sertifikalı eğitim talepleri gelecek dönem planlamasında birlikte değerlendirilmelidir.</w:t>
      </w:r>
    </w:p>
    <w:p>
      <w:pPr>
        <w:spacing w:after="120"/>
        <w:jc w:val="both"/>
      </w:pPr>
      <w:r>
        <w:t>Sonuçlar betimsel değerlendirme niteliğindedir. Katılım oranının bilinmemesi ve demografik verilerin bulunmaması nedeniyle bulgular tüm öğrencilere genellenmemelidir. Olumlu puanlar, öğrenci taleplerinin fiilen karşılandığını veya aidiyetin ölçülmüş biçimde arttığını tek başına göstermemektedir.</w:t>
      </w:r>
    </w:p>
    <w:p>
      <w:pPr>
        <w:pStyle w:val="Balk1"/>
        <w:spacing w:after="120"/>
      </w:pPr>
      <w:r>
        <w:t>8. SONUÇ VE ÖNERİLER</w:t>
      </w:r>
    </w:p>
    <w:p>
      <w:pPr>
        <w:pStyle w:val="ListeMaddemi"/>
        <w:spacing w:after="120"/>
      </w:pPr>
      <w:r>
        <w:t>Müdür–Öğrenci Buluşmaları her dönem için planlanmalı ve öğrencilere önceden duyurulmalıdır.</w:t>
      </w:r>
    </w:p>
    <w:p>
      <w:pPr>
        <w:pStyle w:val="ListeMaddemi"/>
        <w:spacing w:after="120"/>
      </w:pPr>
      <w:r>
        <w:t>Toplantı öncesinde anonim görüş toplama formu kullanılmalı; buluşmada öğrencilerin söz almasına yeterli süre ayrılmalıdır.</w:t>
      </w:r>
    </w:p>
    <w:p>
      <w:pPr>
        <w:pStyle w:val="ListeMaddemi"/>
        <w:spacing w:after="120"/>
      </w:pPr>
      <w:r>
        <w:t>Öğrenci talepleri kayıt altına alınmalı; değerlendirme sonucu ve yapılabilecek çalışmalar öğrencilere geri bildirilmelidir.</w:t>
      </w:r>
    </w:p>
    <w:p>
      <w:pPr>
        <w:pStyle w:val="ListeMaddemi"/>
        <w:spacing w:after="120"/>
      </w:pPr>
      <w:r>
        <w:t>Sosyal ve kültürel geziler, sportif turnuvalar ve mesleki etkinlikler öğrenci tercihleri ile olanaklar dikkate alınarak dönemlik plana alınmalıdır.</w:t>
      </w:r>
    </w:p>
    <w:p>
      <w:pPr>
        <w:pStyle w:val="ListeMaddemi"/>
        <w:spacing w:after="120"/>
      </w:pPr>
      <w:r>
        <w:t>Parkur, hortum atma yarışmaları, arama-kurtarma tatbikatları ve saha senaryoları için uygun uygulama alanı seçenekleri değerlendirilmelidir.</w:t>
      </w:r>
    </w:p>
    <w:p>
      <w:pPr>
        <w:pStyle w:val="ListeMaddemi"/>
        <w:spacing w:after="120"/>
      </w:pPr>
      <w:r>
        <w:t>AFAD gönüllülüğü ve mesleki sertifika eğitimleri için ilgili kurumlarla iş birliği olanakları araştırılmalıdır.</w:t>
      </w:r>
    </w:p>
    <w:p>
      <w:pPr>
        <w:pStyle w:val="ListeMaddemi"/>
        <w:spacing w:after="120"/>
      </w:pPr>
      <w:r>
        <w:t>Mescit ve abdest alma alanına ilişkin öğrenci talebi mevcut fiziki koşullar ve kurumsal olanaklar çerçevesinde incelenmelidir.</w:t>
      </w:r>
    </w:p>
    <w:p>
      <w:pPr>
        <w:pStyle w:val="ListeMaddemi"/>
        <w:spacing w:after="120"/>
      </w:pPr>
      <w:r>
        <w:t>Sonraki anketlerde program ve sınıf bilgileri kişisel kimlik verisi alınmadan eklenmeli; katılım oranı ve dönemler arası sonuçlar izlenmelidir.</w:t>
      </w:r>
    </w:p>
    <w:p>
      <w:pPr>
        <w:pStyle w:val="Balk1"/>
        <w:spacing w:after="120"/>
      </w:pPr>
      <w:r>
        <w:t>9. SONUÇ</w:t>
      </w:r>
    </w:p>
    <w:p>
      <w:pPr>
        <w:keepLines/>
        <w:spacing w:after="120"/>
        <w:jc w:val="both"/>
      </w:pPr>
      <w:r>
        <w:t>Müdür–Öğrenci Buluşması, ankete yanıt veren 30 kişi tarafından genel olarak olumlu değerlendirilmiştir. 4,41/5 genel ortalama ve %85,8 olumlu yanıt oranı, buluşmanın katılımcılar açısından olumlu algılandığını göstermektedir. Samimi iletişim güçlü yön olarak öne çıkarken görüşleri rahatlıkla ifade etme, taleplere geri bildirim sağlama ve uygulama olanaklarını geliştirme başlıkları sonraki çalışmalar için öncelik taşımaktadır.</w:t>
      </w:r>
    </w:p>
    <w:p>
      <w:pPr>
        <w:spacing w:after="120"/>
        <w:jc w:val="both"/>
      </w:pPr>
      <w:r>
        <w:t>Bu rapor, öğrenci geri bildirimlerinin kurumsal değerlendirmeye, sürekli iyileştirme çalışmalarına ve gelecek dönem etkinliklerinin planlanmasına katkı sağlaması amacıyla hazırlanmıştır.</w:t>
      </w:r>
    </w:p>
    <w:sectPr w:rsidR="00AE7EF1" w:rsidRPr="005E7BFC" w:rsidSect="00034616">
      <w:footerReference w:type="default" r:id="rId12"/>
      <w:headerReference w:type="default" r:id="rId15"/>
      <w:headerReference w:type="first" r:id="rId16"/>
      <w:footerReference w:type="first" r:id="rId17"/>
      <w:headerReference w:type="even" r:id="rId18"/>
      <w:footerReference w:type="even" r:id="rId19"/>
      <w:pgSz w:w="12240" w:h="15840"/>
      <w:pgMar w:top="1247" w:right="1134"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89E95" w14:textId="77777777" w:rsidR="005A0F7F" w:rsidRDefault="005A0F7F">
      <w:pPr>
        <w:spacing w:after="0" w:line="240" w:lineRule="auto"/>
      </w:pPr>
      <w:r>
        <w:separator/>
      </w:r>
    </w:p>
  </w:endnote>
  <w:endnote w:type="continuationSeparator" w:id="0">
    <w:p w14:paraId="529DB5A5" w14:textId="77777777" w:rsidR="005A0F7F" w:rsidRDefault="005A0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D98B" w14:textId="77777777" w:rsidR="00AE7EF1" w:rsidRDefault="00000000">
    <w:pPr>
      <w:pStyle w:val="AltBilgi"/>
      <w:jc w:val="center"/>
    </w:pPr>
    <w:proofErr w:type="spellStart"/>
    <w:r>
      <w:rPr>
        <w:sz w:val="16"/>
      </w:rPr>
      <w:t>Şalpazarı Meslek Yüksekokulu – Müdür–Öğrenci Buluşması Anket Sonuç Raporu | 2026</w:t>
    </w:r>
    <w:proofErr w:type="spellEnd"/>
    <w:r>
      <w:rPr>
        <w:sz w:val="16"/>
      </w:rPr>
      <w:t xml:space="preserve"/>
    </w:r>
    <w:proofErr w:type="spellStart"/>
    <w:r>
      <w:rPr>
        <w:sz w:val="16"/>
      </w:rPr>
      <w:t/>
    </w:r>
    <w:proofErr w:type="spellEnd"/>
    <w:r>
      <w:rPr>
        <w:sz w:val="16"/>
      </w:rPr>
      <w:t xml:space="preserve"/>
    </w:r>
    <w:proofErr w:type="spellStart"/>
    <w:r>
      <w:rPr>
        <w:sz w:val="16"/>
      </w:rPr>
      <w:t/>
    </w:r>
    <w:proofErr w:type="spellEnd"/>
    <w:r>
      <w:rPr>
        <w:sz w:val="16"/>
      </w:rPr>
      <w:t xml:space="preserve"/>
    </w:r>
    <w:proofErr w:type="spellStart"/>
    <w:r>
      <w:rPr>
        <w:sz w:val="16"/>
      </w:rPr>
      <w:t/>
    </w:r>
    <w:proofErr w:type="spellEnd"/>
    <w:r>
      <w:rPr>
        <w:sz w:val="16"/>
      </w:rPr>
      <w:t xml:space="preserve"/>
    </w:r>
    <w:proofErr w:type="spellStart"/>
    <w:r>
      <w:rPr>
        <w:sz w:val="16"/>
      </w:rPr>
      <w:t/>
    </w:r>
    <w:proofErr w:type="spellEnd"/>
    <w:r>
      <w:rPr>
        <w:sz w:val="16"/>
      </w:rPr>
      <w:t xml:space="preserve"/>
    </w:r>
    <w:proofErr w:type="spellStart"/>
    <w:r>
      <w:rPr>
        <w:sz w:val="16"/>
      </w:rPr>
      <w:t/>
    </w:r>
    <w:proofErr w:type="spellEnd"/>
    <w:r>
      <w:rPr>
        <w:sz w:val="16"/>
      </w:rPr>
      <w:t xml:space="preserve"/>
    </w:r>
    <w:proofErr w:type="spellStart"/>
    <w:r>
      <w:rPr>
        <w:sz w:val="16"/>
      </w:rPr>
      <w:t/>
    </w:r>
    <w:proofErr w:type="spellEnd"/>
    <w:r>
      <w:rPr>
        <w:sz w:val="16"/>
      </w:rPr>
      <w:t xml:space="preserve"/>
    </w:r>
    <w:proofErr w:type="spellStart"/>
    <w:r>
      <w:rPr>
        <w:sz w:val="16"/>
      </w:rPr>
      <w:t/>
    </w:r>
    <w:proofErr w:type="spellEnd"/>
    <w:r>
      <w:rPr>
        <w:sz w:val="16"/>
      </w:rPr>
      <w:t xml:space="preserve"/>
    </w:r>
    <w:proofErr w:type="spellStart"/>
    <w:r>
      <w:rPr>
        <w:sz w:val="16"/>
      </w:rPr>
      <w:t/>
    </w:r>
    <w:proofErr w:type="spellEnd"/>
    <w:r>
      <w:rPr>
        <w:sz w:val="16"/>
      </w:rPr>
      <w:t xml:space="preserve"/>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38CF1" w14:textId="77777777" w:rsidR="005A0F7F" w:rsidRDefault="005A0F7F">
      <w:pPr>
        <w:spacing w:after="0" w:line="240" w:lineRule="auto"/>
      </w:pPr>
      <w:r>
        <w:separator/>
      </w:r>
    </w:p>
  </w:footnote>
  <w:footnote w:type="continuationSeparator" w:id="0">
    <w:p w14:paraId="360133B5" w14:textId="77777777" w:rsidR="005A0F7F" w:rsidRDefault="005A0F7F">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14765447">
    <w:abstractNumId w:val="8"/>
  </w:num>
  <w:num w:numId="2" w16cid:durableId="1485315145">
    <w:abstractNumId w:val="6"/>
  </w:num>
  <w:num w:numId="3" w16cid:durableId="1704359266">
    <w:abstractNumId w:val="5"/>
  </w:num>
  <w:num w:numId="4" w16cid:durableId="452604259">
    <w:abstractNumId w:val="4"/>
  </w:num>
  <w:num w:numId="5" w16cid:durableId="322050144">
    <w:abstractNumId w:val="7"/>
  </w:num>
  <w:num w:numId="6" w16cid:durableId="776099758">
    <w:abstractNumId w:val="3"/>
  </w:num>
  <w:num w:numId="7" w16cid:durableId="1616710014">
    <w:abstractNumId w:val="2"/>
  </w:num>
  <w:num w:numId="8" w16cid:durableId="788858121">
    <w:abstractNumId w:val="1"/>
  </w:num>
  <w:num w:numId="9" w16cid:durableId="1846288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1029"/>
    <w:rsid w:val="0015074B"/>
    <w:rsid w:val="0029639D"/>
    <w:rsid w:val="00326F90"/>
    <w:rsid w:val="005A0F7F"/>
    <w:rsid w:val="005E7BFC"/>
    <w:rsid w:val="00AA1D8D"/>
    <w:rsid w:val="00AE7EF1"/>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D2B453"/>
  <w14:defaultImageDpi w14:val="300"/>
  <w15:docId w15:val="{9F15666D-3A4A-402B-BD31-1DF833A45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000000"/>
      <w:sz w:val="30"/>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header" Target="header3.xml"/><Relationship Id="rId1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1130</Words>
  <Characters>6442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Müdür Öğrenci Buluşması Anket Sonuç Raporu</dc:title>
  <dc:subject/>
  <dc:creator>python-docx</dc:creator>
  <cp:keywords/>
  <dc:description>generated by python-docx</dc:description>
  <cp:lastModifiedBy>lokman odabaş</cp:lastModifiedBy>
  <cp:revision>2</cp:revision>
  <dcterms:created xsi:type="dcterms:W3CDTF">2013-12-23T23:15:00Z</dcterms:created>
  <dcterms:modified xsi:type="dcterms:W3CDTF">2026-10-07T11:05:00Z</dcterms:modified>
  <cp:category/>
</cp:coreProperties>
</file>