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8305A0" w14:textId="77777777" w:rsidR="00773F26" w:rsidRPr="00773F26" w:rsidRDefault="008055A1" w:rsidP="00773F26">
      <w:pPr>
        <w:pStyle w:val="KonuBal"/>
        <w:spacing w:after="0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773F26">
        <w:rPr>
          <w:rFonts w:ascii="Times New Roman" w:eastAsia="Arial" w:hAnsi="Times New Roman" w:cs="Times New Roman"/>
          <w:sz w:val="24"/>
          <w:szCs w:val="24"/>
        </w:rPr>
        <w:t>TRABZON ÜNİVERSİTESİ</w:t>
      </w:r>
    </w:p>
    <w:p w14:paraId="4411668D" w14:textId="77777777" w:rsidR="00773F26" w:rsidRPr="00773F26" w:rsidRDefault="008055A1" w:rsidP="00773F26">
      <w:pPr>
        <w:pStyle w:val="KonuBal"/>
        <w:spacing w:after="0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773F26">
        <w:rPr>
          <w:rFonts w:ascii="Times New Roman" w:eastAsia="Arial" w:hAnsi="Times New Roman" w:cs="Times New Roman"/>
          <w:sz w:val="24"/>
          <w:szCs w:val="24"/>
        </w:rPr>
        <w:br/>
        <w:t>ŞALPAZARI M</w:t>
      </w:r>
      <w:r w:rsidR="0003730C" w:rsidRPr="00773F26">
        <w:rPr>
          <w:rFonts w:ascii="Times New Roman" w:eastAsia="Arial" w:hAnsi="Times New Roman" w:cs="Times New Roman"/>
          <w:sz w:val="24"/>
          <w:szCs w:val="24"/>
        </w:rPr>
        <w:t>ESLEK YÜKSEKOKULU</w:t>
      </w:r>
    </w:p>
    <w:p w14:paraId="324F16B0" w14:textId="4D25F413" w:rsidR="007E0A2A" w:rsidRDefault="0003730C" w:rsidP="00773F26">
      <w:pPr>
        <w:pStyle w:val="KonuBal"/>
        <w:spacing w:after="0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773F26">
        <w:rPr>
          <w:rFonts w:ascii="Times New Roman" w:eastAsia="Arial" w:hAnsi="Times New Roman" w:cs="Times New Roman"/>
          <w:sz w:val="24"/>
          <w:szCs w:val="24"/>
        </w:rPr>
        <w:br/>
        <w:t>ERASMUS FARABİ VE MEVLANA UYUM KOMİ</w:t>
      </w:r>
      <w:r w:rsidR="008055A1" w:rsidRPr="00773F26">
        <w:rPr>
          <w:rFonts w:ascii="Times New Roman" w:eastAsia="Arial" w:hAnsi="Times New Roman" w:cs="Times New Roman"/>
          <w:sz w:val="24"/>
          <w:szCs w:val="24"/>
        </w:rPr>
        <w:t>SYONU</w:t>
      </w:r>
      <w:r w:rsidR="008055A1" w:rsidRPr="00773F26">
        <w:rPr>
          <w:rFonts w:ascii="Times New Roman" w:eastAsia="Arial" w:hAnsi="Times New Roman" w:cs="Times New Roman"/>
          <w:sz w:val="24"/>
          <w:szCs w:val="24"/>
        </w:rPr>
        <w:br/>
        <w:t>ÇALIŞMA USUL VE ESASLARI</w:t>
      </w:r>
    </w:p>
    <w:p w14:paraId="664734FB" w14:textId="77777777" w:rsidR="00773F26" w:rsidRPr="00773F26" w:rsidRDefault="00773F26" w:rsidP="00773F26"/>
    <w:p w14:paraId="1F262439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1 - Amaç</w:t>
      </w:r>
    </w:p>
    <w:p w14:paraId="154860B9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Bu Usul ve Esasların amacı, Şalpazarı Meslek Yüksekokulu bünyesindeki Erasmus Farabi ve Mevlana Uyum Komisyonu adlı yapının oluşumunu, görevlerini, çalışma düzenini, kayıt, raporlama ve izleme süreçlerini belirlemektir.</w:t>
      </w:r>
    </w:p>
    <w:p w14:paraId="14B34DA9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2 - Kapsam</w:t>
      </w:r>
    </w:p>
    <w:p w14:paraId="3DB70591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Bu Usul ve Esaslar, Erasmus Farabi ve Mevlana Uyum Komisyonu adlı yapının başkan, üye, raportör ve çalışmalarını kapsar.</w:t>
      </w:r>
    </w:p>
    <w:p w14:paraId="315D55DB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3 - Dayanak</w:t>
      </w:r>
    </w:p>
    <w:p w14:paraId="64B385A7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Bu Usul ve Esaslar; Trabzon Üniversitesi Erasmus Yönergesi ile ilgili değişim programı düzenlemeleri ile diğer ilgili üst mevzuata dayanılarak hazırlanmıştır.</w:t>
      </w:r>
    </w:p>
    <w:p w14:paraId="561B425D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Üst mevzuatta farklı bir hüküm bulunması hâlinde üst mevzuat hükmü uygulanır.</w:t>
      </w:r>
    </w:p>
    <w:p w14:paraId="6ECDDCCC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4 - Oluşum</w:t>
      </w:r>
    </w:p>
    <w:p w14:paraId="6A9C7757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Erasmus Farabi ve Mevlana Uyum Komisyonu, üst mevzuatta belirtilen usule göre; hüküm bulunmaması hâlinde Müdürün teklifi ve yetkili kurul kararıyla oluşturulur.</w:t>
      </w:r>
    </w:p>
    <w:p w14:paraId="0F9B40C4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Üye sayısı, görev dağılımı ve görev süresi görevlendirme kararında gösterilir.</w:t>
      </w:r>
    </w:p>
    <w:p w14:paraId="521051DB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5 - Görev süresi ve üyeliğin sona ermesi</w:t>
      </w:r>
    </w:p>
    <w:p w14:paraId="5721104E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Görev süresi üst mevzuat veya görevlendirme kararında belirtilir. Yeni görevlendirme yapılıncaya kadar mevcut görev, mevzuata aykırı olmamak kaydıyla devam eder.</w:t>
      </w:r>
    </w:p>
    <w:p w14:paraId="2A7B60B2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5A3956C4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6 - Çalışma ilkeleri</w:t>
      </w:r>
    </w:p>
    <w:p w14:paraId="64C28FB1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Erasmus Farabi ve Mevlana Uyum Komisyonu; kamu yararı, eşitlik, tarafsızlık, hesap verebilirlik, gizlilik, katılımcılık ve kanıta dayalı karar alma ilkelerine göre çalışır.</w:t>
      </w:r>
    </w:p>
    <w:p w14:paraId="170F681F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Çalışmalar görev alanıyla sınırlı yürütülür; başka kurul veya makamların yetkileri kullanılamaz.</w:t>
      </w:r>
    </w:p>
    <w:p w14:paraId="451A398A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7 - Görevler</w:t>
      </w:r>
    </w:p>
    <w:p w14:paraId="1A1E3987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Değişim programlarına ilişkin başvuru ve akademik uygunluk süreçlerini incelemek.</w:t>
      </w:r>
    </w:p>
    <w:p w14:paraId="1491B415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Ders eşleştirme, öğrenim protokolü, tanınma ve intibak işlemlerini değerlendirmek.</w:t>
      </w:r>
    </w:p>
    <w:p w14:paraId="34B63A69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(3) Öğrenci ve personele başvuru ve akademik süreçler hakkında bilgi vermek.</w:t>
      </w:r>
    </w:p>
    <w:p w14:paraId="4DEB8B23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(4) Gerekçeli önerileri ilgili koordinatörlük ve yetkili kurula sunmak.</w:t>
      </w:r>
    </w:p>
    <w:p w14:paraId="60459202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(5) Müdürlükçe ve ilgili üst birimce görev alanı kapsamında verilen diğer işleri yürütmek.</w:t>
      </w:r>
    </w:p>
    <w:p w14:paraId="67FF3DD3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lastRenderedPageBreak/>
        <w:t>MADDE 8 - Başkanın görevleri</w:t>
      </w:r>
    </w:p>
    <w:p w14:paraId="45F3C575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Yıllık çalışma planını ve toplantı gündemini hazırlatmak, toplantıyı yönetmek ve görev dağılımı yapmak.</w:t>
      </w:r>
    </w:p>
    <w:p w14:paraId="33EAF25F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Karar ve faaliyetlerin uygulanmasını izlemek, gerekli eşgüdümü sağlamak ve sonuçları Müdürlüğe sunmak.</w:t>
      </w:r>
    </w:p>
    <w:p w14:paraId="5760EA52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(3) Başkanın bulunmadığı hâllerde görevlendirme kararında belirtilen başkan yardımcısı veya başkanın belirlediği üye toplantıya başkanlık eder.</w:t>
      </w:r>
    </w:p>
    <w:p w14:paraId="3C0A3464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9 - Üyelerin ve raportörün görevleri</w:t>
      </w:r>
    </w:p>
    <w:p w14:paraId="6E88A9AE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Üyeler gündem konularını inceler, toplantılara katılır, verilen görevleri süresinde tamamlar ve kanıtları raportöre iletir.</w:t>
      </w:r>
    </w:p>
    <w:p w14:paraId="0BE271C0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Raportör; çağrı, gündem, katılım listesi, tutanak, karar, numaralandırma, imza, dosyalama ve bildirim işlemlerini yürütür. Raportör üye değilse oy kullanamaz.</w:t>
      </w:r>
    </w:p>
    <w:p w14:paraId="093277B1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10 - Toplantı zamanı ve çağrı</w:t>
      </w:r>
    </w:p>
    <w:p w14:paraId="702689D4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Erasmus Farabi ve Mevlana Uyum Komisyonu, özel mevzuatta belirtilen sıklıkta; hüküm yoksa görevlerinin gerektirdiği zamanlarda ve yılda en az iki kez toplanır. Acil durum ekipleri olay ve tatbikat sonrasında ayrıca değerlendirme yapar.</w:t>
      </w:r>
    </w:p>
    <w:p w14:paraId="118283A1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Toplantı çağrısı, gündem ve belgeler kural olarak en az iki iş günü önce üyelere iletilir. Acil hâllerde bu süre aranmaz ve gerekçesi tutanağa yazılır.</w:t>
      </w:r>
    </w:p>
    <w:p w14:paraId="57006378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11 - Toplantı ve karar yeter sayısı</w:t>
      </w:r>
    </w:p>
    <w:p w14:paraId="44F4E456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01E886BF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Çekimser oy kullanılamaz. Karşı oy gerekçesi karar metnine yazılır. Danışma ve acil durum çalışmalarında karar gerektirmeyen görüşmeler tutanakla kaydedilebilir.</w:t>
      </w:r>
    </w:p>
    <w:p w14:paraId="5085F626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12 - Kararların niteliği</w:t>
      </w:r>
    </w:p>
    <w:p w14:paraId="3E40E274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Kararlar gerekçeli, açık, uygulanabilir ve görev alanıyla sınırlı olur.</w:t>
      </w:r>
    </w:p>
    <w:p w14:paraId="5A3C5408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Üst mevzuatta açıkça yetki verilmedikçe kararlar öneri niteliğindedir; yetkili makam veya kurulun onayına sunulur.</w:t>
      </w:r>
    </w:p>
    <w:p w14:paraId="57709338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13 - Etik gizlilik ve çıkar çatışması</w:t>
      </w:r>
    </w:p>
    <w:p w14:paraId="14CC9CCB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Üyeler görevleri sırasında öğrendikleri kişisel, akademik, mali veya kurumsal bilgilerin gizliliğini korur.</w:t>
      </w:r>
    </w:p>
    <w:p w14:paraId="08A7DC3C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Kendisini veya doğrudan menfaat ilişkisi bulunan kişiyi ilgilendiren konuda üye görüşme ve oylamaya katılmaz; durum tutanağa yazılır.</w:t>
      </w:r>
    </w:p>
    <w:p w14:paraId="2AB89E06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14 - Tutanak ve dosyalama</w:t>
      </w:r>
    </w:p>
    <w:p w14:paraId="079316D0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Toplantılarda tarih, saat, yer, katılanlar, gündem, görüşülen hususlar, kararlar, sorumlular ve süreleri içeren tutanak düzenlenir.</w:t>
      </w:r>
    </w:p>
    <w:p w14:paraId="30DED9BE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Tutanak ve kararlar katılanlarca imzalanır, müteselsil numaralandırılır ve ekleriyle resmî dosyalama planına göre saklanır. Kişisel veri içeren belgeler açık erişimde yayımlanmaz.</w:t>
      </w:r>
    </w:p>
    <w:p w14:paraId="70541FFE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lastRenderedPageBreak/>
        <w:t>MADDE 15 - Yıllık çalışma planı ve raporlama</w:t>
      </w:r>
    </w:p>
    <w:p w14:paraId="665C4889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Sürekli nitelikteki çalışmalarda eğitim-öğretim yılı başında faaliyet, sorumlu, süre, çıktı ve kanıtları gösteren çalışma planı hazırlanır.</w:t>
      </w:r>
    </w:p>
    <w:p w14:paraId="7D5793F2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Yıl sonunda gerçekleşen faaliyetler, göstergeler, sorunlar ve iyileştirme önerilerini içeren faaliyet raporu Müdürlüğe sunulur.</w:t>
      </w:r>
    </w:p>
    <w:p w14:paraId="23D3A580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16 - İzleme ve iyileştirme</w:t>
      </w:r>
    </w:p>
    <w:p w14:paraId="0980D946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Karar ve faaliyetlerin gerçekleşme durumu başkan tarafından izlenir. Gerçekleşmeyen faaliyetler gerekçelendirilir ve düzeltici veya iyileştirici faaliyet belirlenir.</w:t>
      </w:r>
    </w:p>
    <w:p w14:paraId="2F1C07A1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(2) Sonuçlar ilgili kalite, stratejik plan, iç kontrol veya üst koordinasyon yapısıyla paylaşılır.</w:t>
      </w:r>
    </w:p>
    <w:p w14:paraId="615D83FA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17 - Hüküm bulunmayan hâller</w:t>
      </w:r>
    </w:p>
    <w:p w14:paraId="5B9CFB84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Bu Usul ve Esaslarda hüküm bulunmayan hâllerde ilgili üst mevzuat ile Üniversite ve yetkili kurul kararları uygulanır.</w:t>
      </w:r>
    </w:p>
    <w:p w14:paraId="3069CDCC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18 - Yürürlük</w:t>
      </w:r>
    </w:p>
    <w:p w14:paraId="6608D297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Bu Usul ve Esaslar, Şalpazarı Meslek Yüksekokulu Kurulunun .../.../2026 tarihli ve ... sayılı kararıyla kabul edilerek yürürlüğe girer.</w:t>
      </w:r>
    </w:p>
    <w:p w14:paraId="7B83CFA1" w14:textId="77777777" w:rsidR="007E0A2A" w:rsidRPr="00773F26" w:rsidRDefault="008055A1" w:rsidP="00773F26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b/>
          <w:sz w:val="24"/>
          <w:szCs w:val="24"/>
        </w:rPr>
        <w:t>MADDE 19 - Yürütme</w:t>
      </w:r>
    </w:p>
    <w:p w14:paraId="0AC15F75" w14:textId="77777777" w:rsidR="007E0A2A" w:rsidRPr="00773F26" w:rsidRDefault="008055A1" w:rsidP="00773F26">
      <w:pPr>
        <w:jc w:val="both"/>
        <w:rPr>
          <w:rFonts w:ascii="Times New Roman" w:hAnsi="Times New Roman" w:cs="Times New Roman"/>
          <w:sz w:val="24"/>
          <w:szCs w:val="24"/>
        </w:rPr>
      </w:pPr>
      <w:r w:rsidRPr="00773F26">
        <w:rPr>
          <w:rFonts w:ascii="Times New Roman" w:hAnsi="Times New Roman" w:cs="Times New Roman"/>
          <w:sz w:val="24"/>
          <w:szCs w:val="24"/>
        </w:rPr>
        <w:t>(1) Bu Usul ve Esasları Şalpazarı Meslek Yüksekokulu Müdürü yürütür.</w:t>
      </w:r>
    </w:p>
    <w:sectPr w:rsidR="007E0A2A" w:rsidRPr="00773F26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A69876" w14:textId="77777777" w:rsidR="00984638" w:rsidRDefault="00984638">
      <w:pPr>
        <w:spacing w:after="0" w:line="240" w:lineRule="auto"/>
      </w:pPr>
      <w:r>
        <w:separator/>
      </w:r>
    </w:p>
  </w:endnote>
  <w:endnote w:type="continuationSeparator" w:id="0">
    <w:p w14:paraId="13020D9F" w14:textId="77777777" w:rsidR="00984638" w:rsidRDefault="00984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90EC1F" w14:textId="77777777" w:rsidR="007E0A2A" w:rsidRDefault="008055A1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03730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CF1A98" w14:textId="77777777" w:rsidR="00984638" w:rsidRDefault="00984638">
      <w:pPr>
        <w:spacing w:after="0" w:line="240" w:lineRule="auto"/>
      </w:pPr>
      <w:r>
        <w:separator/>
      </w:r>
    </w:p>
  </w:footnote>
  <w:footnote w:type="continuationSeparator" w:id="0">
    <w:p w14:paraId="25B1F1CD" w14:textId="77777777" w:rsidR="00984638" w:rsidRDefault="00984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F53767" w14:textId="2FDE8E8A" w:rsidR="007E0A2A" w:rsidRDefault="007E0A2A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5026179">
    <w:abstractNumId w:val="8"/>
  </w:num>
  <w:num w:numId="2" w16cid:durableId="1708136076">
    <w:abstractNumId w:val="6"/>
  </w:num>
  <w:num w:numId="3" w16cid:durableId="754202459">
    <w:abstractNumId w:val="5"/>
  </w:num>
  <w:num w:numId="4" w16cid:durableId="300312868">
    <w:abstractNumId w:val="4"/>
  </w:num>
  <w:num w:numId="5" w16cid:durableId="1827938838">
    <w:abstractNumId w:val="7"/>
  </w:num>
  <w:num w:numId="6" w16cid:durableId="1440492717">
    <w:abstractNumId w:val="3"/>
  </w:num>
  <w:num w:numId="7" w16cid:durableId="519661627">
    <w:abstractNumId w:val="2"/>
  </w:num>
  <w:num w:numId="8" w16cid:durableId="1000738297">
    <w:abstractNumId w:val="1"/>
  </w:num>
  <w:num w:numId="9" w16cid:durableId="19288816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30C"/>
    <w:rsid w:val="0006063C"/>
    <w:rsid w:val="0015074B"/>
    <w:rsid w:val="00280095"/>
    <w:rsid w:val="0029639D"/>
    <w:rsid w:val="00326F90"/>
    <w:rsid w:val="00773F26"/>
    <w:rsid w:val="007E0A2A"/>
    <w:rsid w:val="008055A1"/>
    <w:rsid w:val="0098463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03F259"/>
  <w14:defaultImageDpi w14:val="300"/>
  <w15:docId w15:val="{A37191EC-28B5-4235-8A78-A78FACBC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ACFE80-D2C9-4985-B40A-190FA1792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aynur kaya</cp:lastModifiedBy>
  <cp:revision>2</cp:revision>
  <dcterms:created xsi:type="dcterms:W3CDTF">2026-09-16T12:44:00Z</dcterms:created>
  <dcterms:modified xsi:type="dcterms:W3CDTF">2026-09-16T12:44:00Z</dcterms:modified>
  <cp:category/>
</cp:coreProperties>
</file>